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0"/>
        <w:gridCol w:w="1605"/>
        <w:gridCol w:w="2850"/>
        <w:gridCol w:w="3555"/>
        <w:gridCol w:w="3075"/>
        <w:gridCol w:w="2985"/>
      </w:tblGrid>
      <w:tr w14:paraId="0170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700" w:type="dxa"/>
            <w:gridSpan w:val="6"/>
            <w:tcBorders>
              <w:top w:val="nil"/>
              <w:left w:val="nil"/>
              <w:bottom w:val="nil"/>
              <w:right w:val="nil"/>
            </w:tcBorders>
            <w:noWrap/>
            <w:tcMar>
              <w:top w:w="15" w:type="dxa"/>
              <w:left w:w="15" w:type="dxa"/>
              <w:right w:w="15" w:type="dxa"/>
            </w:tcMar>
            <w:vAlign w:val="center"/>
          </w:tcPr>
          <w:p w14:paraId="020F082D">
            <w:pPr>
              <w:keepNext w:val="0"/>
              <w:keepLines w:val="0"/>
              <w:widowControl/>
              <w:suppressLineNumbers w:val="0"/>
              <w:jc w:val="center"/>
              <w:textAlignment w:val="center"/>
              <w:rPr>
                <w:rFonts w:hint="eastAsia" w:ascii="宋体" w:eastAsia="宋体" w:cs="宋体"/>
                <w:i w:val="0"/>
                <w:color w:val="000000"/>
                <w:sz w:val="40"/>
                <w:szCs w:val="40"/>
                <w:u w:val="none"/>
              </w:rPr>
            </w:pPr>
            <w:bookmarkStart w:id="0" w:name="_GoBack"/>
            <w:bookmarkEnd w:id="0"/>
            <w:r>
              <w:rPr>
                <w:rFonts w:hint="eastAsia" w:ascii="宋体" w:eastAsia="宋体" w:cs="宋体"/>
                <w:i w:val="0"/>
                <w:color w:val="000000"/>
                <w:kern w:val="0"/>
                <w:sz w:val="40"/>
                <w:szCs w:val="40"/>
                <w:u w:val="none"/>
                <w:lang w:val="en-US" w:eastAsia="zh-CN"/>
              </w:rPr>
              <w:t>邵阳市市场监督管理局202</w:t>
            </w:r>
            <w:r>
              <w:rPr>
                <w:rFonts w:hint="eastAsia" w:ascii="宋体" w:cs="宋体"/>
                <w:i w:val="0"/>
                <w:color w:val="000000"/>
                <w:kern w:val="0"/>
                <w:sz w:val="40"/>
                <w:szCs w:val="40"/>
                <w:u w:val="none"/>
                <w:lang w:val="en-US" w:eastAsia="zh-CN"/>
              </w:rPr>
              <w:t>3</w:t>
            </w:r>
            <w:r>
              <w:rPr>
                <w:rFonts w:hint="eastAsia" w:ascii="宋体" w:eastAsia="宋体" w:cs="宋体"/>
                <w:i w:val="0"/>
                <w:color w:val="000000"/>
                <w:kern w:val="0"/>
                <w:sz w:val="40"/>
                <w:szCs w:val="40"/>
                <w:u w:val="none"/>
                <w:lang w:val="en-US" w:eastAsia="zh-CN"/>
              </w:rPr>
              <w:t>年度普法责任清单</w:t>
            </w:r>
          </w:p>
        </w:tc>
      </w:tr>
      <w:tr w14:paraId="6EA0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30" w:type="dxa"/>
            <w:tcBorders>
              <w:top w:val="nil"/>
              <w:left w:val="nil"/>
              <w:bottom w:val="nil"/>
              <w:right w:val="nil"/>
            </w:tcBorders>
            <w:noWrap/>
            <w:tcMar>
              <w:top w:w="15" w:type="dxa"/>
              <w:left w:w="15" w:type="dxa"/>
              <w:right w:w="15" w:type="dxa"/>
            </w:tcMar>
            <w:vAlign w:val="center"/>
          </w:tcPr>
          <w:p w14:paraId="3088017E">
            <w:pPr>
              <w:jc w:val="center"/>
              <w:rPr>
                <w:rFonts w:hint="eastAsia" w:ascii="宋体" w:eastAsia="宋体" w:cs="宋体"/>
                <w:i w:val="0"/>
                <w:color w:val="000000"/>
                <w:sz w:val="22"/>
                <w:szCs w:val="22"/>
                <w:u w:val="none"/>
              </w:rPr>
            </w:pPr>
          </w:p>
        </w:tc>
        <w:tc>
          <w:tcPr>
            <w:tcW w:w="1605" w:type="dxa"/>
            <w:tcBorders>
              <w:top w:val="nil"/>
              <w:left w:val="nil"/>
              <w:bottom w:val="nil"/>
              <w:right w:val="nil"/>
            </w:tcBorders>
            <w:noWrap/>
            <w:tcMar>
              <w:top w:w="15" w:type="dxa"/>
              <w:left w:w="15" w:type="dxa"/>
              <w:right w:w="15" w:type="dxa"/>
            </w:tcMar>
            <w:vAlign w:val="center"/>
          </w:tcPr>
          <w:p w14:paraId="204814E8">
            <w:pPr>
              <w:jc w:val="center"/>
              <w:rPr>
                <w:rFonts w:hint="eastAsia" w:ascii="宋体" w:eastAsia="宋体" w:cs="宋体"/>
                <w:i w:val="0"/>
                <w:color w:val="000000"/>
                <w:sz w:val="22"/>
                <w:szCs w:val="22"/>
                <w:u w:val="none"/>
              </w:rPr>
            </w:pPr>
          </w:p>
        </w:tc>
        <w:tc>
          <w:tcPr>
            <w:tcW w:w="2850" w:type="dxa"/>
            <w:tcBorders>
              <w:top w:val="nil"/>
              <w:left w:val="nil"/>
              <w:bottom w:val="nil"/>
              <w:right w:val="nil"/>
            </w:tcBorders>
            <w:noWrap/>
            <w:tcMar>
              <w:top w:w="15" w:type="dxa"/>
              <w:left w:w="15" w:type="dxa"/>
              <w:right w:w="15" w:type="dxa"/>
            </w:tcMar>
            <w:vAlign w:val="center"/>
          </w:tcPr>
          <w:p w14:paraId="3BCD9F32">
            <w:pPr>
              <w:rPr>
                <w:rFonts w:hint="eastAsia" w:ascii="宋体" w:eastAsia="宋体" w:cs="宋体"/>
                <w:i w:val="0"/>
                <w:color w:val="000000"/>
                <w:sz w:val="22"/>
                <w:szCs w:val="22"/>
                <w:u w:val="none"/>
              </w:rPr>
            </w:pPr>
          </w:p>
        </w:tc>
        <w:tc>
          <w:tcPr>
            <w:tcW w:w="3555" w:type="dxa"/>
            <w:tcBorders>
              <w:top w:val="nil"/>
              <w:left w:val="nil"/>
              <w:bottom w:val="nil"/>
              <w:right w:val="nil"/>
            </w:tcBorders>
            <w:noWrap/>
            <w:tcMar>
              <w:top w:w="15" w:type="dxa"/>
              <w:left w:w="15" w:type="dxa"/>
              <w:right w:w="15" w:type="dxa"/>
            </w:tcMar>
            <w:vAlign w:val="center"/>
          </w:tcPr>
          <w:p w14:paraId="56A8A3AA">
            <w:pPr>
              <w:rPr>
                <w:rFonts w:hint="eastAsia" w:ascii="宋体" w:eastAsia="宋体" w:cs="宋体"/>
                <w:i w:val="0"/>
                <w:color w:val="000000"/>
                <w:sz w:val="22"/>
                <w:szCs w:val="22"/>
                <w:u w:val="none"/>
              </w:rPr>
            </w:pPr>
          </w:p>
        </w:tc>
        <w:tc>
          <w:tcPr>
            <w:tcW w:w="3075" w:type="dxa"/>
            <w:tcBorders>
              <w:top w:val="nil"/>
              <w:left w:val="nil"/>
              <w:bottom w:val="nil"/>
              <w:right w:val="nil"/>
            </w:tcBorders>
            <w:noWrap/>
            <w:tcMar>
              <w:top w:w="15" w:type="dxa"/>
              <w:left w:w="15" w:type="dxa"/>
              <w:right w:w="15" w:type="dxa"/>
            </w:tcMar>
            <w:vAlign w:val="center"/>
          </w:tcPr>
          <w:p w14:paraId="3F69C2DB">
            <w:pPr>
              <w:rPr>
                <w:rFonts w:hint="eastAsia" w:ascii="宋体" w:eastAsia="宋体" w:cs="宋体"/>
                <w:i w:val="0"/>
                <w:color w:val="000000"/>
                <w:sz w:val="22"/>
                <w:szCs w:val="22"/>
                <w:u w:val="none"/>
              </w:rPr>
            </w:pPr>
          </w:p>
        </w:tc>
        <w:tc>
          <w:tcPr>
            <w:tcW w:w="2985" w:type="dxa"/>
            <w:tcBorders>
              <w:top w:val="nil"/>
              <w:left w:val="nil"/>
              <w:bottom w:val="nil"/>
              <w:right w:val="nil"/>
            </w:tcBorders>
            <w:noWrap/>
            <w:tcMar>
              <w:top w:w="15" w:type="dxa"/>
              <w:left w:w="15" w:type="dxa"/>
              <w:right w:w="15" w:type="dxa"/>
            </w:tcMar>
            <w:vAlign w:val="center"/>
          </w:tcPr>
          <w:p w14:paraId="46211FD3">
            <w:pPr>
              <w:jc w:val="center"/>
              <w:rPr>
                <w:rFonts w:hint="eastAsia" w:ascii="宋体" w:eastAsia="宋体" w:cs="宋体"/>
                <w:i w:val="0"/>
                <w:color w:val="000000"/>
                <w:sz w:val="22"/>
                <w:szCs w:val="22"/>
                <w:u w:val="none"/>
              </w:rPr>
            </w:pPr>
          </w:p>
        </w:tc>
      </w:tr>
      <w:tr w14:paraId="4A58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25503">
            <w:pPr>
              <w:keepNext w:val="0"/>
              <w:keepLines w:val="0"/>
              <w:widowControl/>
              <w:suppressLineNumbers w:val="0"/>
              <w:jc w:val="center"/>
              <w:textAlignment w:val="center"/>
              <w:rPr>
                <w:rFonts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序号</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532E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普法对象</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41FCB">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重点普法内容</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4A40B">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普法责任和落实形式</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AEA35">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预期目标</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EC9F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责任单位</w:t>
            </w:r>
          </w:p>
        </w:tc>
      </w:tr>
      <w:tr w14:paraId="7180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71E6D">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E4DC9">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局领导</w:t>
            </w:r>
          </w:p>
          <w:p w14:paraId="23C6DABF">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全体工作人员</w:t>
            </w:r>
          </w:p>
          <w:p w14:paraId="1C2CC573">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全体党员</w:t>
            </w:r>
          </w:p>
          <w:p w14:paraId="510FF095">
            <w:pPr>
              <w:keepNext w:val="0"/>
              <w:keepLines w:val="0"/>
              <w:widowControl/>
              <w:suppressLineNumbers w:val="0"/>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EBC75">
            <w:pPr>
              <w:keepNext w:val="0"/>
              <w:keepLines w:val="0"/>
              <w:widowControl/>
              <w:suppressLineNumbers w:val="0"/>
              <w:jc w:val="left"/>
              <w:textAlignment w:val="center"/>
              <w:rPr>
                <w:rFonts w:hint="default" w:ascii="仿宋" w:eastAsia="仿宋" w:cs="仿宋"/>
                <w:i w:val="0"/>
                <w:color w:val="000000"/>
                <w:sz w:val="22"/>
                <w:szCs w:val="22"/>
                <w:u w:val="none"/>
                <w:lang w:val="en-US"/>
              </w:rPr>
            </w:pPr>
            <w:r>
              <w:rPr>
                <w:rFonts w:hint="eastAsia" w:ascii="仿宋" w:eastAsia="仿宋" w:cs="仿宋"/>
                <w:i w:val="0"/>
                <w:color w:val="000000"/>
                <w:kern w:val="0"/>
                <w:sz w:val="22"/>
                <w:szCs w:val="22"/>
                <w:u w:val="none"/>
                <w:lang w:val="en-US" w:eastAsia="zh-CN"/>
              </w:rPr>
              <w:t>习近平法治思想、《宪法》《民法典》《中国共产党章程》、邵阳市干部职工2023年度学法内容</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6033E">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建立健全领导干部学法用法制度，组织中心组学习、学法考试，加强对《宪法》的学习宣传，组织“12</w:t>
            </w:r>
            <w:r>
              <w:rPr>
                <w:rStyle w:val="8"/>
                <w:lang w:val="en-US" w:eastAsia="zh-CN"/>
              </w:rPr>
              <w:t>•</w:t>
            </w:r>
            <w:r>
              <w:rPr>
                <w:rStyle w:val="9"/>
                <w:lang w:val="en-US" w:eastAsia="zh-CN"/>
              </w:rPr>
              <w:t>4”国家宪法日系列宣传活动，大力宣传</w:t>
            </w:r>
            <w:r>
              <w:rPr>
                <w:rStyle w:val="9"/>
                <w:rFonts w:hint="eastAsia"/>
                <w:lang w:val="en-US" w:eastAsia="zh-CN"/>
              </w:rPr>
              <w:t>习近平法治思想</w:t>
            </w:r>
            <w:r>
              <w:rPr>
                <w:rStyle w:val="9"/>
                <w:lang w:val="en-US" w:eastAsia="zh-CN"/>
              </w:rPr>
              <w:t>，宣传党章及准则、条例等,开展《</w:t>
            </w:r>
            <w:r>
              <w:rPr>
                <w:rStyle w:val="9"/>
                <w:rFonts w:hint="eastAsia"/>
                <w:lang w:val="en-US" w:eastAsia="zh-CN"/>
              </w:rPr>
              <w:t>民法典</w:t>
            </w:r>
            <w:r>
              <w:rPr>
                <w:rStyle w:val="9"/>
                <w:lang w:val="en-US" w:eastAsia="zh-CN"/>
              </w:rPr>
              <w:t>》学习培训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2B224">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长期坚持开展，切实加强《宪法》、以党章为核心的党内法规体系的宣传教育，引导干部职工、广大党员牢固树立“四个意识”，坚决做到“两个维护”，做国家法律的自觉尊崇者，党章党规党纪的坚定捍卫者</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A171B">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机关党委</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政工科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政策法规科</w:t>
            </w:r>
          </w:p>
        </w:tc>
      </w:tr>
      <w:tr w14:paraId="1EBC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B9D7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996CD">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全体工作人员</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61964">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《中华人民共和国保守国家秘密法》《中华人民共和国政府信息公开条例》《信访条例》等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A7EE7">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建立健全保密工作配套制度；落实政务信息公开制度；建立健全信访工作制度和信访应急预案，总结、推广信访工作经验</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349BF">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强化系统工作人员保密意识，落实政务公开责任，保障公民、法人和其他组织依法获取政府信息，加强信访工作</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E5782">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局办公室</w:t>
            </w:r>
          </w:p>
        </w:tc>
      </w:tr>
      <w:tr w14:paraId="7CAD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9D772">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C93C6">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法制岗位工作人员</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投诉举报处理岗位工作人员</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6FC63">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《立法法》、《行政处罚法》《行政诉讼法》《行政复议法》《市场监督管理投诉举报处理暂行办法》等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06DBC">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举办法制岗位、投诉举报处理岗位工作人员业务培训，组织人员旁听法院庭审，召开案例研讨会</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CB9E4">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加强全市市场监管系统法制员、投诉举报处理人员的业务培训，研究目前执法工作中遇到的新问题及解决对策，全面提升全市依法行政工作水平</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40A70">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政策法规科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投诉举报科</w:t>
            </w:r>
          </w:p>
        </w:tc>
      </w:tr>
      <w:tr w14:paraId="1BF7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2E144">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4</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A9CF3">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注册登记工作人员及社会公众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B31B9">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围绕“优化法治化营商环境”等发展任务，重点宣传《行政许可法》《公司法》《优化营商环境条例》《市场主体登记管理条例》等法律法规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69133">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培训讲座</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F7E75">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提高注册登记水平，提升商事登记效率，推动开办企业再提速</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D000F">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登记注册科</w:t>
            </w:r>
          </w:p>
        </w:tc>
      </w:tr>
      <w:tr w14:paraId="22A6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5C86D">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38CC2">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全市市场主体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8427">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《企业信息公示暂行条例》《市场监督管理严重违法失信名单管理办法》等，普及信用监管法律、法规、规章等知识</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072F4">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多形式向企业普及年报报送责任、内容、时间以及公示企业即时信息等知识，建立市场主体信息公示和共享机制，依法公示和共享有关信息</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41797">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加强企业法律意识，提高企业对信息公示的认识，按时报送年报，按时公示企业即时信息，加强信用监督，推动市场主体信用体系建设</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EB46D">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信用监督管理科</w:t>
            </w:r>
          </w:p>
        </w:tc>
      </w:tr>
      <w:tr w14:paraId="45E1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C5F26">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6</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3417B">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全市市场主体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A4348">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《反垄断法》《反不正当竞争法》等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01999">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多形式向企业普及反垄断、反不正当竞争等知识，及时公开两反执法检查结果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FE811">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加强企业公平竞争意识，提高企业合法维权意识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6A178">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反垄断和反不正当竞争科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1368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657BA">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7</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11A8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全体市场主体及消费者</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5884B">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《价格法》等法律法规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7A6AD">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多形式向企业、消费者普及价格监管等知识，及时公开价格执法检查结果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936DD">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稳定市场价格总水平，保护消费者和经营者合法权益</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BFF45">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价格监督检查科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14D4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5C9CA">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8</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3E4D6">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电子商务经营者、拍卖人</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02626">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《电子商务法》《拍卖法》等网监有关法律法规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50B4C">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组织网监、拍卖法律法规知识培训，及时公开检查及现场监督结果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58D01">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着力引导电子商务经营者合法经营，大力规范拍卖行为</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E78A">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网络交易监督管理科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68B5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FA601">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9</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8B33B">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广告主体</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91E86">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7A461">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多形式向广告主体进行广告知识普及，及时公开广告执法检查结果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0A67E">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进一步提高相关广告主体的守法意识，规范广告经营行为，有力维护健康有序的广告市场秩</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35E29">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广告监督管理科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525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8DB6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10</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8D364">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相关政府职能部门、企事业单位和社会公众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58C15">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《产品质量法》《标准化法》《计量法》《认证认可条例》《特种设备安全法》等法律法规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F91B9">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结合“质量月”、“5.20”世界计量日、“6.9”世界认可日、“10.14”世界标准日等宣传活动，多形式进行专题宣贯培训，及时公开执法检查结果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AD022">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提升全民质量、标准、计量意识，普及特种设备安全法律法规知识，提升社会大众安全使用特种设备知识水平和从业单位的主体责任意识，营造人人参与、人人重视的良好社会氛围</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2500B">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质量发展科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产品质量安全监督管理科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标准化科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计量科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认证监督管理科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特种设备安全监察科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61C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94D56">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11</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11401">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食品相关企业及社会公众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DE71D">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《食品安全法》《食品安全法实施条例》等法律法规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E6144">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结合“食品安全宣传周”等宣传活动，多形式进行食品安全专题宣贯培训，及时公开执法检查结果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0048B">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提升全民安全饮食意识，提升食品相关企业及管理人员食品安全主体责任意识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6A770">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食品生产安全监督管理科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食品流通安全监督管理科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餐馆服务食品安全监督管理科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特殊食品安全监督管理科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1C09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44DBA">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12</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1F9B1">
            <w:pPr>
              <w:keepNext w:val="0"/>
              <w:keepLines w:val="0"/>
              <w:widowControl/>
              <w:suppressLineNumbers w:val="0"/>
              <w:jc w:val="center"/>
              <w:textAlignment w:val="center"/>
              <w:rPr>
                <w:rFonts w:hint="eastAsia" w:ascii="仿宋" w:eastAsia="仿宋" w:cs="仿宋"/>
                <w:i w:val="0"/>
                <w:color w:val="000000"/>
                <w:sz w:val="22"/>
                <w:szCs w:val="22"/>
                <w:u w:val="none"/>
              </w:rPr>
            </w:pPr>
            <w:r>
              <w:rPr>
                <w:rFonts w:ascii="仿宋" w:eastAsia="仿宋" w:cs="仿宋"/>
                <w:i w:val="0"/>
                <w:color w:val="000000"/>
                <w:kern w:val="0"/>
                <w:sz w:val="22"/>
                <w:szCs w:val="22"/>
                <w:u w:val="none"/>
                <w:lang w:val="en-US" w:eastAsia="zh-CN"/>
              </w:rPr>
              <w:t>相关企业</w:t>
            </w:r>
            <w:r>
              <w:rPr>
                <w:rFonts w:hint="eastAsia" w:ascii="仿宋" w:eastAsia="仿宋" w:cs="仿宋"/>
                <w:i w:val="0"/>
                <w:color w:val="000000"/>
                <w:kern w:val="0"/>
                <w:sz w:val="22"/>
                <w:szCs w:val="22"/>
                <w:u w:val="none"/>
                <w:lang w:val="en-US" w:eastAsia="zh-CN"/>
              </w:rPr>
              <w:t>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7D2F3">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《商标法》及《商标法实施条例》，《专利法》及《实施细则》等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B648F">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有关商标、专利知识和商标品牌战略宣传培训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995CE">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普及《商标法》《专利法》等法律法规知识，提高社会公众尊重和保护商标、专利知识产权意识，提升推进商标品牌战略和专利产业化实施能力</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DE3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知识产权促进科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知识产权保护科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知识产权运用科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1E5E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C6131">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13</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BAB8E">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药品、医疗器械、化妆品相关企业、医疗机构及社会公众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16608">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《药品管理法》《疫苗管理法》《医疗器械监督管理条例》《化妆品监督管理条例》等法律法规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838FE">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组织监管相对人进行培训，多形式开展宣传，及时公开执法检查结果</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BCFEC">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提升公众合理用药意识，提升医疗机构、药品相关企业及管理人员药品安全、合理用药意识</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21AFB">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药品生产监督管理科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药品流通监督管理科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医疗器械监督管理科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化妆品监督管理科</w:t>
            </w:r>
            <w:r>
              <w:rPr>
                <w:rFonts w:hint="eastAsia" w:ascii="仿宋" w:eastAsia="仿宋" w:cs="仿宋"/>
                <w:i w:val="0"/>
                <w:color w:val="000000"/>
                <w:kern w:val="0"/>
                <w:sz w:val="22"/>
                <w:szCs w:val="22"/>
                <w:u w:val="none"/>
                <w:lang w:val="en-US" w:eastAsia="zh-CN"/>
              </w:rPr>
              <w:br w:type="textWrapping"/>
            </w:r>
            <w:r>
              <w:rPr>
                <w:rFonts w:hint="eastAsia" w:ascii="仿宋" w:eastAsia="仿宋" w:cs="仿宋"/>
                <w:i w:val="0"/>
                <w:color w:val="000000"/>
                <w:kern w:val="0"/>
                <w:sz w:val="22"/>
                <w:szCs w:val="22"/>
                <w:u w:val="none"/>
                <w:lang w:val="en-US" w:eastAsia="zh-CN"/>
              </w:rPr>
              <w:t>市场监管综合行政执法支队</w:t>
            </w:r>
          </w:p>
        </w:tc>
      </w:tr>
      <w:tr w14:paraId="3FB4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A9499">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14</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650F6">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从事消保维权工作工作的工作人员及社会公众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253E2">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《消费者权益保护法》等法律法规</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8784A">
            <w:pPr>
              <w:keepNext w:val="0"/>
              <w:keepLines w:val="0"/>
              <w:widowControl/>
              <w:suppressLineNumbers w:val="0"/>
              <w:jc w:val="left"/>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消费维权工作培训</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43756">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着力引导和营造有利于消费维权事业发展的社会舆论环境</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CA2D5">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消费者权益保护科</w:t>
            </w:r>
          </w:p>
        </w:tc>
      </w:tr>
      <w:tr w14:paraId="0D48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EF49D">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15</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3279F">
            <w:pPr>
              <w:keepNext w:val="0"/>
              <w:keepLines w:val="0"/>
              <w:widowControl/>
              <w:suppressLineNumbers w:val="0"/>
              <w:jc w:val="center"/>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全体执法人员和社会公众</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F1FE0">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《湖南省法制宣传教育条例》《邵阳市地方特色食品传承与发展条例》等</w:t>
            </w: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40F86">
            <w:pPr>
              <w:keepNext w:val="0"/>
              <w:keepLines w:val="0"/>
              <w:widowControl/>
              <w:suppressLineNumbers w:val="0"/>
              <w:jc w:val="both"/>
              <w:textAlignment w:val="center"/>
              <w:rPr>
                <w:rFonts w:hint="eastAsia" w:ascii="仿宋" w:eastAsia="仿宋" w:cs="仿宋"/>
                <w:i w:val="0"/>
                <w:color w:val="000000"/>
                <w:sz w:val="22"/>
                <w:szCs w:val="22"/>
                <w:u w:val="none"/>
                <w:lang w:eastAsia="zh-CN"/>
              </w:rPr>
            </w:pPr>
            <w:r>
              <w:rPr>
                <w:rFonts w:hint="eastAsia" w:ascii="仿宋" w:eastAsia="仿宋" w:cs="仿宋"/>
                <w:i w:val="0"/>
                <w:color w:val="000000"/>
                <w:sz w:val="22"/>
                <w:szCs w:val="22"/>
                <w:u w:val="none"/>
                <w:lang w:eastAsia="zh-CN"/>
              </w:rPr>
              <w:t>在执法中宣传</w:t>
            </w: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4681B">
            <w:pPr>
              <w:keepNext w:val="0"/>
              <w:keepLines w:val="0"/>
              <w:widowControl/>
              <w:suppressLineNumbers w:val="0"/>
              <w:jc w:val="both"/>
              <w:textAlignment w:val="center"/>
              <w:rPr>
                <w:rFonts w:hint="eastAsia" w:ascii="仿宋" w:eastAsia="仿宋" w:cs="仿宋"/>
                <w:i w:val="0"/>
                <w:color w:val="000000"/>
                <w:sz w:val="22"/>
                <w:szCs w:val="22"/>
                <w:u w:val="none"/>
              </w:rPr>
            </w:pPr>
            <w:r>
              <w:rPr>
                <w:rFonts w:hint="eastAsia" w:ascii="仿宋" w:eastAsia="仿宋" w:cs="仿宋"/>
                <w:i w:val="0"/>
                <w:color w:val="000000"/>
                <w:kern w:val="0"/>
                <w:sz w:val="22"/>
                <w:szCs w:val="22"/>
                <w:u w:val="none"/>
                <w:lang w:val="en-US" w:eastAsia="zh-CN"/>
              </w:rPr>
              <w:t>提高谁执法谁普法能力及地方品牌宣传保护水平</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A2BC0">
            <w:pPr>
              <w:keepNext w:val="0"/>
              <w:keepLines w:val="0"/>
              <w:widowControl/>
              <w:suppressLineNumbers w:val="0"/>
              <w:jc w:val="center"/>
              <w:textAlignment w:val="center"/>
              <w:rPr>
                <w:rFonts w:hint="eastAsia" w:ascii="仿宋" w:eastAsia="仿宋" w:cs="仿宋"/>
                <w:i w:val="0"/>
                <w:color w:val="000000"/>
                <w:sz w:val="22"/>
                <w:szCs w:val="22"/>
                <w:u w:val="none"/>
              </w:rPr>
            </w:pPr>
            <w:r>
              <w:rPr>
                <w:rStyle w:val="10"/>
                <w:lang w:val="en-US" w:eastAsia="zh-CN"/>
              </w:rPr>
              <w:t>各业务科室</w:t>
            </w:r>
          </w:p>
        </w:tc>
      </w:tr>
    </w:tbl>
    <w:p w14:paraId="04CD4277"/>
    <w:p w14:paraId="217B87A2"/>
    <w:sectPr>
      <w:pgSz w:w="16838" w:h="11906" w:orient="landscape"/>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4C8C3018"/>
    <w:rsid w:val="4C8C3018"/>
    <w:rsid w:val="7B6A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qFormat/>
    <w:uiPriority w:val="0"/>
    <w:pPr>
      <w:ind w:firstLine="664"/>
    </w:p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 w:type="character" w:customStyle="1" w:styleId="8">
    <w:name w:val="font01"/>
    <w:basedOn w:val="6"/>
    <w:qFormat/>
    <w:uiPriority w:val="0"/>
    <w:rPr>
      <w:rFonts w:ascii="宋体" w:eastAsia="宋体" w:cs="宋体"/>
      <w:color w:val="000000"/>
      <w:sz w:val="22"/>
      <w:szCs w:val="22"/>
      <w:u w:val="none"/>
    </w:rPr>
  </w:style>
  <w:style w:type="character" w:customStyle="1" w:styleId="9">
    <w:name w:val="font51"/>
    <w:basedOn w:val="6"/>
    <w:qFormat/>
    <w:uiPriority w:val="0"/>
    <w:rPr>
      <w:rFonts w:ascii="仿宋" w:eastAsia="仿宋" w:cs="仿宋"/>
      <w:color w:val="000000"/>
      <w:sz w:val="22"/>
      <w:szCs w:val="22"/>
      <w:u w:val="none"/>
    </w:rPr>
  </w:style>
  <w:style w:type="character" w:customStyle="1" w:styleId="10">
    <w:name w:val="font11"/>
    <w:basedOn w:val="6"/>
    <w:qFormat/>
    <w:uiPriority w:val="0"/>
    <w:rPr>
      <w:rFonts w:ascii="仿宋" w:eastAsia="仿宋" w:cs="仿宋"/>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2238</Words>
  <Characters>2263</Characters>
  <Lines>0</Lines>
  <Paragraphs>0</Paragraphs>
  <TotalTime>0</TotalTime>
  <ScaleCrop>false</ScaleCrop>
  <LinksUpToDate>false</LinksUpToDate>
  <CharactersWithSpaces>2263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2023-10-18T07:46:00Z</dcterms:created>
  <dc:creator>旧时光·不见旧人</dc:creator>
  <cp:lastModifiedBy>随风而起</cp:lastModifiedBy>
  <dcterms:modified xsi:type="dcterms:W3CDTF">2025-08-25T08:03:09Z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DA8F0A2E0F6E431D89DBBA0E548497FF_11</vt:lpwstr>
  </property>
  <property fmtid="{D5CDD505-2E9C-101B-9397-08002B2CF9AE}" pid="4" name="KSOTemplateDocerSaveRecord">
    <vt:lpwstr>eyJoZGlkIjoiMzUyMGJjZGJkYTMxNmM2MGVkODM5NTNmZjk2YzllNDIiLCJ1c2VySWQiOiIyNzg1MzQ3NzgifQ==</vt:lpwstr>
  </property>
</Properties>
</file>