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附件1：</w:t>
      </w:r>
    </w:p>
    <w:p>
      <w:pPr>
        <w:spacing w:line="600" w:lineRule="exact"/>
        <w:rPr>
          <w:rFonts w:ascii="宋体" w:hAnsi="宋体"/>
          <w:b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>邵阳市食品药品检验所2021年财政预算信息</w:t>
      </w: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部门预算公开参考模板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）</w:t>
      </w:r>
    </w:p>
    <w:p>
      <w:pPr>
        <w:spacing w:line="600" w:lineRule="exact"/>
        <w:jc w:val="center"/>
        <w:rPr>
          <w:rFonts w:eastAsia="方正小标宋_GBK"/>
          <w:b/>
          <w:sz w:val="44"/>
          <w:szCs w:val="44"/>
          <w:lang w:val="en-US" w:eastAsia="zh-CN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目</w:t>
      </w:r>
      <w:r>
        <w:rPr>
          <w:rFonts w:hint="eastAsia" w:ascii="黑体" w:hAnsi="宋体" w:eastAsia="黑体"/>
          <w:b/>
          <w:bCs/>
          <w:sz w:val="32"/>
          <w:szCs w:val="32"/>
        </w:rPr>
        <w:t xml:space="preserve">   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录</w:t>
      </w:r>
    </w:p>
    <w:p>
      <w:pPr>
        <w:jc w:val="center"/>
        <w:rPr>
          <w:rStyle w:val="7"/>
          <w:rFonts w:ascii="微软雅黑" w:hAnsi="微软雅黑" w:eastAsia="微软雅黑"/>
          <w:color w:val="404040"/>
          <w:sz w:val="28"/>
          <w:szCs w:val="28"/>
        </w:rPr>
      </w:pPr>
    </w:p>
    <w:p>
      <w:pPr>
        <w:shd w:val="clear" w:color="auto" w:fill="FFFFFF"/>
        <w:spacing w:before="100" w:beforeAutospacing="1" w:after="300" w:line="480" w:lineRule="auto"/>
        <w:rPr>
          <w:rFonts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第一部分、2021年度部门预算情况说明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一、部门基本概况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二、部门预算单位构成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三、部门收支总体情况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四、一般公共预算拨款支出预算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五、“三公”经费预算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六、一般性支出预算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七、其他重要事项的情况说明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八、名词解释</w:t>
      </w:r>
    </w:p>
    <w:p>
      <w:pPr>
        <w:shd w:val="clear" w:color="auto" w:fill="FFFFFF"/>
        <w:spacing w:before="100" w:beforeAutospacing="1" w:after="300" w:line="480" w:lineRule="auto"/>
        <w:rPr>
          <w:rFonts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第二部分、20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  <w:lang w:eastAsia="zh-CN"/>
        </w:rPr>
        <w:t>年度部门预算报表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一、部门收支总表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二、部门收入总表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三、部门支出总表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四、财政拨款收支总表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五、一般公共预算支出表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六、一般公共预算基本支出表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七、政府性基金预算支出表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八、"三公"经费支出表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九、政府采购预算表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十、一般性支出预算表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十一、新增资产申报表</w:t>
      </w:r>
    </w:p>
    <w:p>
      <w:pPr>
        <w:shd w:val="clear" w:color="auto" w:fill="FFFFFF"/>
        <w:spacing w:before="100" w:beforeAutospacing="1" w:after="300" w:line="480" w:lineRule="auto"/>
        <w:rPr>
          <w:rFonts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十二、20</w:t>
      </w: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宋体" w:eastAsia="仿宋_GB2312" w:cs="Arial"/>
          <w:color w:val="333333"/>
          <w:sz w:val="32"/>
          <w:szCs w:val="32"/>
          <w:shd w:val="clear" w:color="auto" w:fill="FFFFFF"/>
          <w:lang w:eastAsia="zh-CN"/>
        </w:rPr>
        <w:t>年部门整体支出绩效目标申报表</w:t>
      </w:r>
    </w:p>
    <w:p>
      <w:pPr>
        <w:spacing w:line="600" w:lineRule="exact"/>
        <w:jc w:val="center"/>
        <w:rPr>
          <w:rFonts w:eastAsia="黑体"/>
          <w:bCs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eastAsia="黑体"/>
          <w:bCs/>
          <w:sz w:val="32"/>
          <w:szCs w:val="32"/>
          <w:lang w:val="en-US" w:eastAsia="zh-CN"/>
        </w:rPr>
      </w:pPr>
      <w:r>
        <w:rPr>
          <w:rFonts w:hint="eastAsia" w:eastAsia="黑体"/>
          <w:bCs/>
          <w:sz w:val="32"/>
          <w:szCs w:val="32"/>
          <w:lang w:val="en-US" w:eastAsia="zh-CN"/>
        </w:rPr>
        <w:t>第一部分</w:t>
      </w:r>
      <w:r>
        <w:rPr>
          <w:rFonts w:eastAsia="黑体"/>
          <w:bCs/>
          <w:sz w:val="32"/>
          <w:szCs w:val="32"/>
          <w:lang w:val="en-US" w:eastAsia="zh-CN"/>
        </w:rPr>
        <w:pict>
          <v:shape id="_tx_ignore" o:spid="_x0000_s1026" o:spt="202" type="#_x0000_t202" style="position:absolute;left:0pt;margin-left:90pt;margin-top:61.7pt;height:10.3pt;width:432pt;mso-position-horizontal-relative:page;mso-position-vertical-relative:page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"/>
                    <w:rPr>
                      <w:rFonts w:ascii="Arial" w:hAnsi="Arial" w:eastAsia="Arial"/>
                      <w:b/>
                      <w:color w:val="808080"/>
                      <w:sz w:val="12"/>
                    </w:rPr>
                  </w:pPr>
                </w:p>
              </w:txbxContent>
            </v:textbox>
          </v:shape>
        </w:pict>
      </w:r>
      <w:r>
        <w:rPr>
          <w:rFonts w:hint="eastAsia" w:eastAsia="黑体"/>
          <w:bCs/>
          <w:sz w:val="32"/>
          <w:szCs w:val="32"/>
          <w:lang w:val="en-US" w:eastAsia="zh-CN"/>
        </w:rPr>
        <w:t xml:space="preserve">  </w:t>
      </w:r>
      <w:r>
        <w:rPr>
          <w:rStyle w:val="7"/>
          <w:rFonts w:hint="eastAsia" w:ascii="宋体" w:hAnsi="宋体" w:cs="宋体"/>
          <w:color w:val="40404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eastAsia="黑体"/>
          <w:bCs/>
          <w:sz w:val="32"/>
          <w:szCs w:val="32"/>
          <w:lang w:val="en-US" w:eastAsia="zh-CN"/>
        </w:rPr>
        <w:t>邵阳市食品药品检验所部门</w:t>
      </w:r>
      <w:r>
        <w:rPr>
          <w:rFonts w:eastAsia="黑体"/>
          <w:bCs/>
          <w:sz w:val="32"/>
          <w:szCs w:val="32"/>
          <w:lang w:val="en-US" w:eastAsia="zh-CN"/>
        </w:rPr>
        <w:t>20</w:t>
      </w:r>
      <w:r>
        <w:rPr>
          <w:rFonts w:hint="eastAsia" w:eastAsia="黑体"/>
          <w:bCs/>
          <w:sz w:val="32"/>
          <w:szCs w:val="32"/>
          <w:lang w:val="en-US" w:eastAsia="zh-CN"/>
        </w:rPr>
        <w:t>21</w:t>
      </w:r>
      <w:r>
        <w:rPr>
          <w:rFonts w:eastAsia="黑体"/>
          <w:bCs/>
          <w:sz w:val="32"/>
          <w:szCs w:val="32"/>
          <w:lang w:val="en-US" w:eastAsia="zh-CN"/>
        </w:rPr>
        <w:t>年</w:t>
      </w:r>
      <w:r>
        <w:rPr>
          <w:rFonts w:hint="eastAsia" w:eastAsia="黑体"/>
          <w:bCs/>
          <w:sz w:val="32"/>
          <w:szCs w:val="32"/>
          <w:lang w:val="en-US" w:eastAsia="zh-CN"/>
        </w:rPr>
        <w:t>部门</w:t>
      </w:r>
      <w:r>
        <w:rPr>
          <w:rFonts w:eastAsia="黑体"/>
          <w:bCs/>
          <w:sz w:val="32"/>
          <w:szCs w:val="32"/>
          <w:lang w:val="en-US" w:eastAsia="zh-CN"/>
        </w:rPr>
        <w:t>预算编制说明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jc w:val="center"/>
        <w:rPr>
          <w:sz w:val="18"/>
          <w:szCs w:val="18"/>
        </w:rPr>
      </w:pP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一、部门基本概况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（一）职责职能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widowControl/>
        <w:suppressLineNumbers w:val="0"/>
        <w:ind w:left="0" w:firstLine="800" w:firstLineChars="25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承担全市食品、药品、保健食品、化妆品的质量监督检验/检测、评价性检验和委托检验，综合上报或反馈食品、药品、保健食品、化妆品的质量信息。</w:t>
      </w:r>
    </w:p>
    <w:p>
      <w:pPr>
        <w:keepNext w:val="0"/>
        <w:keepLines w:val="0"/>
        <w:widowControl/>
        <w:suppressLineNumbers w:val="0"/>
        <w:ind w:left="0" w:firstLine="800" w:firstLineChars="25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承担食品、药品、保健食品、化妆品标准的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制订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和修订工作。</w:t>
      </w:r>
    </w:p>
    <w:p>
      <w:pPr>
        <w:keepNext w:val="0"/>
        <w:keepLines w:val="0"/>
        <w:widowControl/>
        <w:suppressLineNumbers w:val="0"/>
        <w:ind w:left="0" w:firstLine="800" w:firstLineChars="25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开展有关药品、食品、保健食品及化妆品检验方法和检验技术的研究工作。</w:t>
      </w:r>
    </w:p>
    <w:p>
      <w:pPr>
        <w:pStyle w:val="11"/>
        <w:keepNext w:val="0"/>
        <w:keepLines w:val="0"/>
        <w:widowControl/>
        <w:suppressLineNumbers w:val="0"/>
        <w:spacing w:before="0" w:beforeAutospacing="0"/>
        <w:ind w:lef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承担对县市药品检验所、辖区内食品、药品、保健食品、化妆品生产、供应、使用单位质量检验机构的业务技术指导和人员培训。</w:t>
      </w:r>
    </w:p>
    <w:p>
      <w:pPr>
        <w:pStyle w:val="11"/>
        <w:keepNext w:val="0"/>
        <w:keepLines w:val="0"/>
        <w:widowControl/>
        <w:suppressLineNumbers w:val="0"/>
        <w:spacing w:before="0" w:beforeAutospacing="0"/>
        <w:ind w:left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FFFFFF" w:fill="FFFFFF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完成国家总局、省市食品药品监督管理局交办的其他食品药品监督、抽验及检验检测工作。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fldChar w:fldCharType="begin">
          <w:fldData xml:space="preserve">QwAzAEIAMgBDAEIAMgBBADYANgA1AEIANABFAEEANwBCAEQAQgA4ADAAMAA5ADQAQgA3ADYAQwBF
ADgAQQBFAA==
</w:fldData>
        </w:fldChar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instrText xml:space="preserve">Addin 单位职能概述</w:instrTex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fldChar w:fldCharType="separate"/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darkRed"/>
          <w:shd w:val="clear" w:color="auto" w:fill="FFFFFF"/>
        </w:rPr>
        <w:fldChar w:fldCharType="end"/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（二）机构设置</w:t>
      </w:r>
    </w:p>
    <w:p>
      <w:pPr>
        <w:pStyle w:val="11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内设机构设置。邵阳市食品药品检验所内设机构包括：办公室、人事科、监督科、质保科、业务科、生化药理室、化学药品室、中药室、保健食品/化妆品室、生产环节食品室、流通环节食品室、餐饮环节食品室、微生物室13个职能科（室）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二、部门预算单位构成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/>
        </w:rPr>
        <w:t>只有本级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，无其他二级预算单位，因此，纳入20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20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年部门预算编制范围的只有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本级。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三、部门收支总体情况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（一）收入预算：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/>
        </w:rPr>
        <w:t>21</w:t>
      </w:r>
      <w:r>
        <w:rPr>
          <w:rFonts w:hint="eastAsia" w:ascii="仿宋_GB2312" w:eastAsia="仿宋_GB2312"/>
          <w:sz w:val="32"/>
          <w:szCs w:val="32"/>
        </w:rPr>
        <w:t>年年初预算数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904.33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val="en-US"/>
        </w:rPr>
        <w:t>其中，一般公共预算拨款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904.33</w:t>
      </w:r>
      <w:r>
        <w:rPr>
          <w:rFonts w:hint="eastAsia" w:ascii="仿宋_GB2312" w:eastAsia="仿宋_GB2312"/>
          <w:sz w:val="32"/>
          <w:szCs w:val="32"/>
          <w:lang w:val="en-US"/>
        </w:rPr>
        <w:t>万元，政府性基金预算拨款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lang w:val="en-US"/>
        </w:rPr>
        <w:t>万元，纳入专户管理的非税收入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lang w:val="en-US"/>
        </w:rPr>
        <w:t>万元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 w:cs="宋体"/>
          <w:sz w:val="32"/>
          <w:szCs w:val="32"/>
        </w:rPr>
        <w:t>收入较去年增加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123.79</w:t>
      </w:r>
      <w:r>
        <w:rPr>
          <w:rFonts w:hint="eastAsia" w:ascii="仿宋_GB2312" w:eastAsia="仿宋_GB2312" w:cs="宋体"/>
          <w:sz w:val="32"/>
          <w:szCs w:val="32"/>
        </w:rPr>
        <w:t>万元，</w:t>
      </w:r>
      <w:r>
        <w:rPr>
          <w:rFonts w:hint="eastAsia" w:ascii="仿宋_GB2312" w:eastAsia="仿宋_GB2312" w:cs="宋体"/>
          <w:sz w:val="32"/>
          <w:szCs w:val="32"/>
          <w:lang w:val="en-US"/>
        </w:rPr>
        <w:t>增长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15.85</w:t>
      </w:r>
      <w:r>
        <w:rPr>
          <w:rFonts w:hint="eastAsia" w:ascii="仿宋_GB2312" w:eastAsia="仿宋_GB2312" w:cs="宋体"/>
          <w:sz w:val="32"/>
          <w:szCs w:val="32"/>
          <w:lang w:val="en-US"/>
        </w:rPr>
        <w:t>%，</w:t>
      </w:r>
      <w:r>
        <w:rPr>
          <w:rFonts w:hint="eastAsia" w:ascii="仿宋_GB2312" w:eastAsia="仿宋_GB2312" w:cs="宋体"/>
          <w:sz w:val="32"/>
          <w:szCs w:val="32"/>
        </w:rPr>
        <w:t>原因是：</w:t>
      </w:r>
      <w:r>
        <w:rPr>
          <w:rFonts w:hint="eastAsia" w:eastAsia="仿宋_GB2312"/>
          <w:sz w:val="32"/>
          <w:szCs w:val="32"/>
          <w:lang w:val="en-US" w:eastAsia="zh-CN"/>
        </w:rPr>
        <w:t>人员经费与公用经费增加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（二）支出预算：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/>
        </w:rPr>
        <w:t>21</w:t>
      </w:r>
      <w:r>
        <w:rPr>
          <w:rFonts w:hint="eastAsia" w:ascii="仿宋_GB2312" w:eastAsia="仿宋_GB2312"/>
          <w:sz w:val="32"/>
          <w:szCs w:val="32"/>
        </w:rPr>
        <w:t>年年初预算数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904.33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val="en-US"/>
        </w:rPr>
        <w:t>其中，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一般公共服务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763.73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万元，公共安全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万元，教育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万元，科学技术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社会保障和就业支出57.88万元，卫生健康支出34.81万元，住房公积金支出47.91万元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。支出较去年增加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123.79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</w:t>
      </w:r>
      <w:r>
        <w:rPr>
          <w:rFonts w:hint="eastAsia" w:ascii="仿宋_GB2312" w:eastAsia="仿宋_GB2312" w:cs="宋体"/>
          <w:sz w:val="32"/>
          <w:szCs w:val="32"/>
          <w:lang w:val="en-US"/>
        </w:rPr>
        <w:t>增长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15.85</w:t>
      </w:r>
      <w:r>
        <w:rPr>
          <w:rFonts w:hint="eastAsia" w:ascii="仿宋_GB2312" w:eastAsia="仿宋_GB2312" w:cs="宋体"/>
          <w:sz w:val="32"/>
          <w:szCs w:val="32"/>
          <w:lang w:val="en-US"/>
        </w:rPr>
        <w:t>%，</w:t>
      </w:r>
      <w:r>
        <w:rPr>
          <w:rFonts w:hint="eastAsia" w:ascii="仿宋_GB2312" w:eastAsia="仿宋_GB2312" w:cs="宋体"/>
          <w:sz w:val="32"/>
          <w:szCs w:val="32"/>
        </w:rPr>
        <w:t>原因是：</w:t>
      </w:r>
      <w:r>
        <w:rPr>
          <w:rFonts w:hint="eastAsia" w:eastAsia="仿宋_GB2312"/>
          <w:sz w:val="32"/>
          <w:szCs w:val="32"/>
          <w:lang w:val="en-US" w:eastAsia="zh-CN"/>
        </w:rPr>
        <w:t>人员经费与公用经费增加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四、一般公共预算拨款支出预算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宋体"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>2021年一般公共预算拨款支出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904.33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万元。基本支出：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584.33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万元，其中：工资福利支出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539.86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万元,商品和福利支出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42.44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万元,对个人和家庭补助支出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2.03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万元。项目支出：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320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万元。</w:t>
      </w:r>
      <w:r>
        <w:rPr>
          <w:rFonts w:eastAsia="仿宋_GB2312"/>
          <w:sz w:val="32"/>
          <w:szCs w:val="32"/>
        </w:rPr>
        <w:t>其中：</w:t>
      </w:r>
      <w:r>
        <w:rPr>
          <w:rFonts w:hint="eastAsia" w:eastAsia="仿宋_GB2312"/>
          <w:sz w:val="32"/>
          <w:szCs w:val="32"/>
          <w:lang w:val="en-US" w:eastAsia="zh-CN"/>
        </w:rPr>
        <w:t>药品检验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110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药品的抽验检验等方面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食品检验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110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食品的抽验检验</w:t>
      </w:r>
      <w:r>
        <w:rPr>
          <w:rFonts w:eastAsia="仿宋_GB2312"/>
          <w:sz w:val="32"/>
          <w:szCs w:val="32"/>
        </w:rPr>
        <w:t>等方面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五、“三公”经费预算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宋体"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>2021年“三公”经费预算数为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万元，其中：因公出国（境）费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万元，公务用车购置及运行费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万元（其中，公务用车购置费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万元，公务用车运行费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万元），公务接待费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宋体"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>2021年“三公”经费预算与2020年持平，主要是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控制</w:t>
      </w:r>
      <w:r>
        <w:rPr>
          <w:rFonts w:hint="eastAsia" w:ascii="仿宋_GB2312" w:eastAsia="仿宋_GB2312" w:cs="宋体"/>
          <w:sz w:val="32"/>
          <w:szCs w:val="32"/>
          <w:lang w:val="en-US"/>
        </w:rPr>
        <w:t>“三公”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经费支出</w:t>
      </w:r>
      <w:r>
        <w:rPr>
          <w:rFonts w:hint="eastAsia" w:ascii="仿宋_GB2312" w:eastAsia="仿宋_GB2312" w:cs="宋体"/>
          <w:sz w:val="32"/>
          <w:szCs w:val="32"/>
          <w:lang w:val="en-US"/>
        </w:rPr>
        <w:t>。</w:t>
      </w:r>
    </w:p>
    <w:p>
      <w:pPr>
        <w:pStyle w:val="10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宋体"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>一般性支出预算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rPr>
          <w:rFonts w:ascii="仿宋_GB2312" w:eastAsia="仿宋_GB2312" w:cs="宋体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 xml:space="preserve">    2021年一般性支出预算数为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159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万元，其中：办公费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万元，印刷费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万元，咨询费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，水费2万元，电费20万元，邮电费2万元，物业管理费36万元，差旅费10万元，因公出国（境）费0万元，维修（护）费10万元，租赁费0万元，会议费0万元，培训费5万元，公务接待费2万元，公务用车运行维护费8万元，其他交通费4万元，劳务费50万元</w:t>
      </w:r>
      <w:r>
        <w:rPr>
          <w:rFonts w:hint="eastAsia" w:ascii="仿宋_GB2312" w:eastAsia="仿宋_GB2312" w:cs="宋体"/>
          <w:sz w:val="32"/>
          <w:szCs w:val="32"/>
          <w:lang w:val="en-US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 w:firstLineChars="200"/>
        <w:rPr>
          <w:rFonts w:ascii="仿宋_GB2312" w:eastAsia="仿宋_GB2312" w:cs="宋体"/>
          <w:sz w:val="32"/>
          <w:szCs w:val="32"/>
          <w:lang w:val="en-US"/>
        </w:rPr>
      </w:pPr>
      <w:r>
        <w:rPr>
          <w:rFonts w:hint="eastAsia" w:ascii="仿宋_GB2312" w:eastAsia="仿宋_GB2312" w:cs="宋体"/>
          <w:sz w:val="32"/>
          <w:szCs w:val="32"/>
          <w:lang w:val="en-US"/>
        </w:rPr>
        <w:t>2021年一般性支出预算较2020年增加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76</w:t>
      </w:r>
      <w:r>
        <w:rPr>
          <w:rFonts w:hint="eastAsia" w:ascii="仿宋_GB2312" w:eastAsia="仿宋_GB2312" w:cs="宋体"/>
          <w:sz w:val="32"/>
          <w:szCs w:val="32"/>
          <w:lang w:val="en-US"/>
        </w:rPr>
        <w:t>万元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宋体"/>
          <w:sz w:val="32"/>
          <w:szCs w:val="32"/>
          <w:lang w:val="en-US"/>
        </w:rPr>
        <w:t>主要是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财政预算安排增加及开展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  <w:lang w:val="en-US" w:eastAsia="zh-CN"/>
        </w:rPr>
        <w:t>检验工作的需求增加</w:t>
      </w:r>
      <w:r>
        <w:rPr>
          <w:rFonts w:hint="eastAsia" w:ascii="仿宋_GB2312" w:eastAsia="仿宋_GB2312" w:cs="宋体"/>
          <w:sz w:val="32"/>
          <w:szCs w:val="32"/>
          <w:lang w:val="en-US"/>
        </w:rPr>
        <w:t>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七、其他重要事项的情况说明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（一）事业运行经费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/>
        </w:rPr>
        <w:t>2021年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/>
        </w:rPr>
        <w:t>部门</w:t>
      </w:r>
      <w:r>
        <w:rPr>
          <w:rFonts w:hint="eastAsia" w:ascii="仿宋_GB2312" w:eastAsia="仿宋_GB2312"/>
          <w:sz w:val="32"/>
          <w:szCs w:val="32"/>
          <w:lang w:val="en-US"/>
        </w:rPr>
        <w:t>事业运行经费财政拨款预算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42.44</w:t>
      </w:r>
      <w:r>
        <w:rPr>
          <w:rFonts w:hint="eastAsia" w:ascii="仿宋_GB2312" w:eastAsia="仿宋_GB2312"/>
          <w:sz w:val="32"/>
          <w:szCs w:val="32"/>
          <w:lang w:val="en-US"/>
        </w:rPr>
        <w:t>万元，</w:t>
      </w:r>
      <w:r>
        <w:rPr>
          <w:rFonts w:eastAsia="仿宋_GB2312"/>
          <w:sz w:val="32"/>
          <w:szCs w:val="32"/>
        </w:rPr>
        <w:t>比20</w:t>
      </w:r>
      <w:r>
        <w:rPr>
          <w:rFonts w:hint="eastAsia" w:eastAsia="仿宋_GB2312"/>
          <w:sz w:val="32"/>
          <w:szCs w:val="32"/>
          <w:lang w:val="en-US"/>
        </w:rPr>
        <w:t>20</w:t>
      </w:r>
      <w:r>
        <w:rPr>
          <w:rFonts w:eastAsia="仿宋_GB2312"/>
          <w:sz w:val="32"/>
          <w:szCs w:val="32"/>
        </w:rPr>
        <w:t>年预算增加</w:t>
      </w:r>
      <w:r>
        <w:rPr>
          <w:rFonts w:hint="eastAsia" w:eastAsia="仿宋_GB2312"/>
          <w:sz w:val="32"/>
          <w:szCs w:val="32"/>
          <w:lang w:val="en-US" w:eastAsia="zh-CN"/>
        </w:rPr>
        <w:t>14.64</w:t>
      </w:r>
      <w:r>
        <w:rPr>
          <w:rFonts w:hint="eastAsia" w:ascii="仿宋_GB2312" w:eastAsia="仿宋_GB2312"/>
          <w:sz w:val="32"/>
          <w:szCs w:val="32"/>
          <w:lang w:val="en-US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lang w:val="en-US"/>
        </w:rPr>
        <w:t>上升</w:t>
      </w:r>
      <w:r>
        <w:rPr>
          <w:rFonts w:hint="eastAsia" w:eastAsia="仿宋_GB2312"/>
          <w:sz w:val="32"/>
          <w:szCs w:val="32"/>
          <w:lang w:val="en-US" w:eastAsia="zh-CN"/>
        </w:rPr>
        <w:t>52</w:t>
      </w:r>
      <w:r>
        <w:rPr>
          <w:rFonts w:eastAsia="仿宋_GB2312"/>
          <w:sz w:val="32"/>
          <w:szCs w:val="32"/>
          <w:lang w:val="en-US"/>
        </w:rPr>
        <w:t>%</w:t>
      </w:r>
      <w:r>
        <w:rPr>
          <w:rFonts w:hint="eastAsia" w:eastAsia="仿宋_GB2312"/>
          <w:sz w:val="32"/>
          <w:szCs w:val="32"/>
          <w:lang w:val="en-US"/>
        </w:rPr>
        <w:t>,主要是</w:t>
      </w:r>
      <w:r>
        <w:rPr>
          <w:rFonts w:hint="eastAsia" w:eastAsia="仿宋_GB2312"/>
          <w:sz w:val="32"/>
          <w:szCs w:val="32"/>
          <w:lang w:val="en-US" w:eastAsia="zh-CN"/>
        </w:rPr>
        <w:t>财政预算安排增加。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（二）政府性基金预算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/>
        </w:rPr>
        <w:t>2021年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/>
        </w:rPr>
        <w:t>没有使用政府性基金拨款安排的预算。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（三）政府采购情况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val="en-US"/>
        </w:rPr>
        <w:t>2021年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政府采购预算总额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万元，其中：政府采购货物类预算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万元、政府采购服务类预算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万元、政府采购工程类预算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万元。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</w:rPr>
        <w:t>（四）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国有资产占有使用情况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/>
        </w:rPr>
        <w:t>截止2020年底，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邵阳市食品药品检验所</w:t>
      </w:r>
      <w:r>
        <w:rPr>
          <w:rFonts w:hint="eastAsia" w:ascii="仿宋_GB2312" w:eastAsia="仿宋_GB2312" w:cs="宋体"/>
          <w:color w:val="444444"/>
          <w:sz w:val="32"/>
          <w:szCs w:val="32"/>
        </w:rPr>
        <w:t>共有公务用车</w:t>
      </w:r>
      <w:r>
        <w:rPr>
          <w:rFonts w:hint="eastAsia" w:ascii="仿宋_GB2312" w:eastAsia="仿宋_GB2312" w:cs="宋体"/>
          <w:color w:val="44444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444444"/>
          <w:sz w:val="32"/>
          <w:szCs w:val="32"/>
        </w:rPr>
        <w:t>辆，200万以上的大型设备</w:t>
      </w:r>
      <w:r>
        <w:rPr>
          <w:rFonts w:hint="eastAsia" w:ascii="仿宋_GB2312" w:eastAsia="仿宋_GB2312" w:cs="宋体"/>
          <w:color w:val="44444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台。2021年新增资产配置情况详见《新增资产申报表》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10"/>
        <w:numPr>
          <w:ilvl w:val="0"/>
          <w:numId w:val="2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预算绩效目标设置情况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 w:firstLineChars="200"/>
        <w:rPr>
          <w:rFonts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本单位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年度部门整体支出实施了绩效目标管理，填报了预算绩效目标申报表（见附件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表12</w:t>
      </w:r>
      <w:r>
        <w:rPr>
          <w:rFonts w:hint="eastAsia" w:ascii="仿宋" w:hAnsi="仿宋" w:eastAsia="仿宋" w:cs="仿宋"/>
          <w:sz w:val="32"/>
          <w:szCs w:val="32"/>
        </w:rPr>
        <w:t>），本单位在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年度无重点项目资金预算。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firstLine="800" w:firstLineChars="2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八、名词解释</w:t>
      </w:r>
    </w:p>
    <w:p>
      <w:pPr>
        <w:pStyle w:val="10"/>
        <w:tabs>
          <w:tab w:val="left" w:pos="42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left="300" w:leftChars="150" w:firstLine="472" w:firstLineChars="147"/>
        <w:jc w:val="both"/>
        <w:rPr>
          <w:rFonts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Arial"/>
          <w:b/>
          <w:bCs/>
          <w:color w:val="333333"/>
          <w:sz w:val="32"/>
          <w:szCs w:val="32"/>
          <w:shd w:val="clear" w:color="auto" w:fill="FFFFFF"/>
          <w:lang w:val="en-US"/>
        </w:rPr>
        <w:t>1、机关（事业）运行经费：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为保障行政（事业）单位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pStyle w:val="10"/>
        <w:tabs>
          <w:tab w:val="left" w:pos="420"/>
          <w:tab w:val="left" w:pos="100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600" w:lineRule="exact"/>
        <w:ind w:left="300" w:leftChars="150" w:firstLine="643" w:firstLineChars="200"/>
        <w:jc w:val="both"/>
        <w:rPr>
          <w:rFonts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 w:cs="Arial"/>
          <w:b/>
          <w:bCs/>
          <w:color w:val="333333"/>
          <w:sz w:val="32"/>
          <w:szCs w:val="32"/>
          <w:shd w:val="clear" w:color="auto" w:fill="FFFFFF"/>
          <w:lang w:val="en-US"/>
        </w:rPr>
        <w:t>2、“三公”经费：</w:t>
      </w:r>
      <w:r>
        <w:rPr>
          <w:rFonts w:hint="eastAsia" w:ascii="仿宋_GB2312" w:eastAsia="仿宋_GB2312" w:cs="Arial"/>
          <w:color w:val="333333"/>
          <w:sz w:val="32"/>
          <w:szCs w:val="32"/>
          <w:shd w:val="clear" w:color="auto" w:fill="FFFFFF"/>
          <w:lang w:val="en-US"/>
        </w:rPr>
        <w:t>指本部门当年部门预算安排的因公出国（境）费用、公务接待费、公务用车购置和运行维护费预算数。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 w:eastAsia="zh-CN"/>
      </w:rPr>
      <w:t>6</w:t>
    </w:r>
    <w:r>
      <w:rPr>
        <w:lang w:val="en-US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C628F"/>
    <w:multiLevelType w:val="singleLevel"/>
    <w:tmpl w:val="DF1C628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A1418F"/>
    <w:multiLevelType w:val="singleLevel"/>
    <w:tmpl w:val="75A1418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1134"/>
  <w:hyphenationZone w:val="0"/>
  <w:doNotHyphenateCaps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A33654"/>
    <w:rsid w:val="00031F52"/>
    <w:rsid w:val="00046C21"/>
    <w:rsid w:val="000A1769"/>
    <w:rsid w:val="000A5FB6"/>
    <w:rsid w:val="000A7E71"/>
    <w:rsid w:val="000E6E99"/>
    <w:rsid w:val="000F270F"/>
    <w:rsid w:val="00101047"/>
    <w:rsid w:val="0010489B"/>
    <w:rsid w:val="0010541A"/>
    <w:rsid w:val="0011549F"/>
    <w:rsid w:val="00132CFD"/>
    <w:rsid w:val="00157F37"/>
    <w:rsid w:val="00162884"/>
    <w:rsid w:val="00162F84"/>
    <w:rsid w:val="001726B6"/>
    <w:rsid w:val="001929A2"/>
    <w:rsid w:val="001A34B1"/>
    <w:rsid w:val="001B2C5A"/>
    <w:rsid w:val="001C70D5"/>
    <w:rsid w:val="001F0728"/>
    <w:rsid w:val="001F1E8A"/>
    <w:rsid w:val="001F373D"/>
    <w:rsid w:val="001F563B"/>
    <w:rsid w:val="001F608B"/>
    <w:rsid w:val="001F734A"/>
    <w:rsid w:val="0020510F"/>
    <w:rsid w:val="0021087A"/>
    <w:rsid w:val="00250DBE"/>
    <w:rsid w:val="002779E6"/>
    <w:rsid w:val="00290A6A"/>
    <w:rsid w:val="00290B92"/>
    <w:rsid w:val="00294AFF"/>
    <w:rsid w:val="00295E00"/>
    <w:rsid w:val="002A7778"/>
    <w:rsid w:val="002C1322"/>
    <w:rsid w:val="002C1ACA"/>
    <w:rsid w:val="00305492"/>
    <w:rsid w:val="00340CB9"/>
    <w:rsid w:val="00353013"/>
    <w:rsid w:val="003555E0"/>
    <w:rsid w:val="00361ABC"/>
    <w:rsid w:val="00362F15"/>
    <w:rsid w:val="003825F5"/>
    <w:rsid w:val="003B6488"/>
    <w:rsid w:val="003C7121"/>
    <w:rsid w:val="003E1334"/>
    <w:rsid w:val="00410EC0"/>
    <w:rsid w:val="004135CA"/>
    <w:rsid w:val="0041524B"/>
    <w:rsid w:val="00451ABC"/>
    <w:rsid w:val="004809AC"/>
    <w:rsid w:val="004C33F4"/>
    <w:rsid w:val="004D7470"/>
    <w:rsid w:val="004E3041"/>
    <w:rsid w:val="004F2E26"/>
    <w:rsid w:val="00500074"/>
    <w:rsid w:val="00504DCC"/>
    <w:rsid w:val="00536EA8"/>
    <w:rsid w:val="005378D2"/>
    <w:rsid w:val="005465B0"/>
    <w:rsid w:val="00555394"/>
    <w:rsid w:val="00566604"/>
    <w:rsid w:val="005734E3"/>
    <w:rsid w:val="00585134"/>
    <w:rsid w:val="005B363F"/>
    <w:rsid w:val="005B3AA9"/>
    <w:rsid w:val="005C148E"/>
    <w:rsid w:val="005C4ECC"/>
    <w:rsid w:val="005D2F04"/>
    <w:rsid w:val="005E051D"/>
    <w:rsid w:val="005E5C56"/>
    <w:rsid w:val="005E5F7E"/>
    <w:rsid w:val="005F0B5F"/>
    <w:rsid w:val="0061756D"/>
    <w:rsid w:val="006240E4"/>
    <w:rsid w:val="00647649"/>
    <w:rsid w:val="006476DB"/>
    <w:rsid w:val="0068319E"/>
    <w:rsid w:val="0069158E"/>
    <w:rsid w:val="006926A9"/>
    <w:rsid w:val="006A5240"/>
    <w:rsid w:val="006A5963"/>
    <w:rsid w:val="006B2CA3"/>
    <w:rsid w:val="007227B0"/>
    <w:rsid w:val="00726977"/>
    <w:rsid w:val="00731B63"/>
    <w:rsid w:val="00741B0D"/>
    <w:rsid w:val="00744B69"/>
    <w:rsid w:val="00747E73"/>
    <w:rsid w:val="00751779"/>
    <w:rsid w:val="007629F2"/>
    <w:rsid w:val="00771B59"/>
    <w:rsid w:val="00775D9F"/>
    <w:rsid w:val="007801B0"/>
    <w:rsid w:val="007909DC"/>
    <w:rsid w:val="0079709D"/>
    <w:rsid w:val="007A1824"/>
    <w:rsid w:val="007B2D0D"/>
    <w:rsid w:val="007B6546"/>
    <w:rsid w:val="007E554B"/>
    <w:rsid w:val="007F67B3"/>
    <w:rsid w:val="00840797"/>
    <w:rsid w:val="00840A0E"/>
    <w:rsid w:val="008451CD"/>
    <w:rsid w:val="00847FF8"/>
    <w:rsid w:val="00852104"/>
    <w:rsid w:val="0088339D"/>
    <w:rsid w:val="00885EA9"/>
    <w:rsid w:val="008B5EF8"/>
    <w:rsid w:val="008B7D56"/>
    <w:rsid w:val="008C0EDB"/>
    <w:rsid w:val="008C505B"/>
    <w:rsid w:val="008E29A0"/>
    <w:rsid w:val="008E5894"/>
    <w:rsid w:val="008E6109"/>
    <w:rsid w:val="008F1A9A"/>
    <w:rsid w:val="008F1E03"/>
    <w:rsid w:val="00921CE7"/>
    <w:rsid w:val="00923F4C"/>
    <w:rsid w:val="00927E59"/>
    <w:rsid w:val="00966546"/>
    <w:rsid w:val="00967585"/>
    <w:rsid w:val="009728F1"/>
    <w:rsid w:val="00992F0A"/>
    <w:rsid w:val="00995728"/>
    <w:rsid w:val="009A736D"/>
    <w:rsid w:val="009B7625"/>
    <w:rsid w:val="009C7AD0"/>
    <w:rsid w:val="009E336B"/>
    <w:rsid w:val="009F4E44"/>
    <w:rsid w:val="009F53C6"/>
    <w:rsid w:val="009F6252"/>
    <w:rsid w:val="00A12AE6"/>
    <w:rsid w:val="00A33654"/>
    <w:rsid w:val="00A42A19"/>
    <w:rsid w:val="00A5378D"/>
    <w:rsid w:val="00A5539F"/>
    <w:rsid w:val="00A62441"/>
    <w:rsid w:val="00A7596D"/>
    <w:rsid w:val="00A9578A"/>
    <w:rsid w:val="00AB1DAE"/>
    <w:rsid w:val="00AC52E9"/>
    <w:rsid w:val="00AC54A4"/>
    <w:rsid w:val="00B0747D"/>
    <w:rsid w:val="00B100F5"/>
    <w:rsid w:val="00B2561B"/>
    <w:rsid w:val="00B425E4"/>
    <w:rsid w:val="00B4790F"/>
    <w:rsid w:val="00B74960"/>
    <w:rsid w:val="00B7578D"/>
    <w:rsid w:val="00B82205"/>
    <w:rsid w:val="00B831B2"/>
    <w:rsid w:val="00B943B8"/>
    <w:rsid w:val="00BA3231"/>
    <w:rsid w:val="00BB4A7B"/>
    <w:rsid w:val="00BC29A3"/>
    <w:rsid w:val="00BD7EF4"/>
    <w:rsid w:val="00BE683E"/>
    <w:rsid w:val="00BF48D0"/>
    <w:rsid w:val="00C02415"/>
    <w:rsid w:val="00C026AC"/>
    <w:rsid w:val="00C03FBA"/>
    <w:rsid w:val="00C14107"/>
    <w:rsid w:val="00C34D39"/>
    <w:rsid w:val="00C4691D"/>
    <w:rsid w:val="00C47552"/>
    <w:rsid w:val="00C534A6"/>
    <w:rsid w:val="00C562E1"/>
    <w:rsid w:val="00C6237D"/>
    <w:rsid w:val="00C67B42"/>
    <w:rsid w:val="00C71559"/>
    <w:rsid w:val="00C93461"/>
    <w:rsid w:val="00C95DB0"/>
    <w:rsid w:val="00CC557F"/>
    <w:rsid w:val="00CC634E"/>
    <w:rsid w:val="00D46F81"/>
    <w:rsid w:val="00D9455C"/>
    <w:rsid w:val="00D96A52"/>
    <w:rsid w:val="00DB0410"/>
    <w:rsid w:val="00DC35AE"/>
    <w:rsid w:val="00DC5535"/>
    <w:rsid w:val="00DC7490"/>
    <w:rsid w:val="00DD33F1"/>
    <w:rsid w:val="00DE1F52"/>
    <w:rsid w:val="00DE7464"/>
    <w:rsid w:val="00E03235"/>
    <w:rsid w:val="00E13A20"/>
    <w:rsid w:val="00E13E68"/>
    <w:rsid w:val="00E16771"/>
    <w:rsid w:val="00E326F6"/>
    <w:rsid w:val="00E5273C"/>
    <w:rsid w:val="00E64CA4"/>
    <w:rsid w:val="00E77F26"/>
    <w:rsid w:val="00EA34F9"/>
    <w:rsid w:val="00EC2A93"/>
    <w:rsid w:val="00EC4C40"/>
    <w:rsid w:val="00EE0F90"/>
    <w:rsid w:val="00EE6B8C"/>
    <w:rsid w:val="00EE7FCC"/>
    <w:rsid w:val="00F01A5B"/>
    <w:rsid w:val="00F052D8"/>
    <w:rsid w:val="00F22451"/>
    <w:rsid w:val="00F228F8"/>
    <w:rsid w:val="00F2301A"/>
    <w:rsid w:val="00F430EA"/>
    <w:rsid w:val="00F47B1D"/>
    <w:rsid w:val="00F53006"/>
    <w:rsid w:val="00F539E6"/>
    <w:rsid w:val="00F61BCC"/>
    <w:rsid w:val="00F7324F"/>
    <w:rsid w:val="00F83B3F"/>
    <w:rsid w:val="00F8529E"/>
    <w:rsid w:val="00F93803"/>
    <w:rsid w:val="00F94AB1"/>
    <w:rsid w:val="00F9692C"/>
    <w:rsid w:val="00FF63F5"/>
    <w:rsid w:val="04B2608F"/>
    <w:rsid w:val="09182BA6"/>
    <w:rsid w:val="094B6519"/>
    <w:rsid w:val="09D34936"/>
    <w:rsid w:val="0C8370DF"/>
    <w:rsid w:val="0E1B4858"/>
    <w:rsid w:val="13A764A0"/>
    <w:rsid w:val="1649037D"/>
    <w:rsid w:val="19C33223"/>
    <w:rsid w:val="1AB20698"/>
    <w:rsid w:val="1E9A69CC"/>
    <w:rsid w:val="1FCC3717"/>
    <w:rsid w:val="26E53B67"/>
    <w:rsid w:val="28003A90"/>
    <w:rsid w:val="2AC86EA6"/>
    <w:rsid w:val="2B3427DE"/>
    <w:rsid w:val="38E83761"/>
    <w:rsid w:val="3B5D61EF"/>
    <w:rsid w:val="3E3102AB"/>
    <w:rsid w:val="3EE12D4B"/>
    <w:rsid w:val="407E1EB9"/>
    <w:rsid w:val="41E200C2"/>
    <w:rsid w:val="47D35D1E"/>
    <w:rsid w:val="483313C7"/>
    <w:rsid w:val="483A74D4"/>
    <w:rsid w:val="4E657F86"/>
    <w:rsid w:val="4E672A1C"/>
    <w:rsid w:val="52E30413"/>
    <w:rsid w:val="584D1EC5"/>
    <w:rsid w:val="5C7D733B"/>
    <w:rsid w:val="5DED6B07"/>
    <w:rsid w:val="5F5B6D6D"/>
    <w:rsid w:val="60426021"/>
    <w:rsid w:val="61815321"/>
    <w:rsid w:val="64085976"/>
    <w:rsid w:val="642872C3"/>
    <w:rsid w:val="670F484F"/>
    <w:rsid w:val="67673003"/>
    <w:rsid w:val="67A77178"/>
    <w:rsid w:val="67DF76F5"/>
    <w:rsid w:val="6D4E7EF2"/>
    <w:rsid w:val="721F699C"/>
    <w:rsid w:val="7DE81409"/>
    <w:rsid w:val="7F0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rPr>
      <w:rFonts w:ascii="Times New Roman" w:hAnsi="Times New Roman" w:eastAsia="宋体" w:cs="Times New Roman"/>
      <w:lang w:val="zh-CN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0"/>
    <w:rPr>
      <w:sz w:val="18"/>
      <w:szCs w:val="18"/>
      <w:lang w:val="zh-CN" w:eastAsia="en-US"/>
    </w:rPr>
  </w:style>
  <w:style w:type="character" w:customStyle="1" w:styleId="9">
    <w:name w:val="页脚 Char"/>
    <w:basedOn w:val="6"/>
    <w:link w:val="2"/>
    <w:uiPriority w:val="99"/>
    <w:rPr>
      <w:sz w:val="18"/>
      <w:szCs w:val="18"/>
      <w:lang w:val="zh-CN" w:eastAsia="en-US"/>
    </w:rPr>
  </w:style>
  <w:style w:type="paragraph" w:customStyle="1" w:styleId="10">
    <w:name w:val="[Normal]"/>
    <w:uiPriority w:val="6"/>
    <w:rPr>
      <w:rFonts w:ascii="宋体" w:hAnsi="宋体" w:eastAsia="宋体" w:cs="Times New Roman"/>
      <w:sz w:val="24"/>
      <w:lang w:val="zh-CN" w:eastAsia="zh-CN" w:bidi="ar-SA"/>
    </w:rPr>
  </w:style>
  <w:style w:type="paragraph" w:customStyle="1" w:styleId="11">
    <w:name w:val="普通(网站) Char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gdcz</Company>
  <Pages>6</Pages>
  <Words>287</Words>
  <Characters>1640</Characters>
  <Lines>13</Lines>
  <Paragraphs>3</Paragraphs>
  <TotalTime>13</TotalTime>
  <ScaleCrop>false</ScaleCrop>
  <LinksUpToDate>false</LinksUpToDate>
  <CharactersWithSpaces>1924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2021-01-21T01:22:00Z</dcterms:created>
  <dc:creator>Administrator</dc:creator>
  <cp:lastModifiedBy>hxy</cp:lastModifiedBy>
  <cp:lastPrinted>2020-02-04T01:43:00Z</cp:lastPrinted>
  <dcterms:modified xsi:type="dcterms:W3CDTF">2021-01-26T08:26:47Z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EDOID">
    <vt:r8>69370</vt:r8>
  </property>
</Properties>
</file>