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904" w:firstLineChars="300"/>
      </w:pPr>
      <w:bookmarkStart w:id="0" w:name="_Toc14407"/>
      <w:r>
        <w:rPr>
          <w:rFonts w:hint="eastAsia"/>
        </w:rPr>
        <w:t>公司注销登记提交材料规范</w:t>
      </w:r>
      <w:bookmarkEnd w:id="0"/>
    </w:p>
    <w:p>
      <w:pPr>
        <w:widowControl/>
        <w:adjustRightInd w:val="0"/>
        <w:snapToGrid w:val="0"/>
        <w:spacing w:before="75" w:after="75" w:line="240" w:lineRule="atLeast"/>
        <w:jc w:val="left"/>
        <w:rPr>
          <w:rFonts w:hint="eastAsia" w:ascii="宋体" w:hAnsi="宋体" w:eastAsia="宋体" w:cs="仿宋_GB2312"/>
          <w:b/>
          <w:bCs/>
          <w:kern w:val="2"/>
          <w:sz w:val="24"/>
          <w:szCs w:val="24"/>
          <w:lang w:val="en-US" w:eastAsia="zh-CN" w:bidi="ar-SA"/>
        </w:rPr>
      </w:pPr>
      <w:r>
        <w:rPr>
          <w:rFonts w:hint="eastAsia" w:ascii="宋体" w:hAnsi="宋体" w:eastAsia="宋体" w:cs="仿宋_GB2312"/>
          <w:b/>
          <w:bCs/>
          <w:kern w:val="2"/>
          <w:sz w:val="24"/>
          <w:szCs w:val="24"/>
          <w:lang w:val="en-US" w:eastAsia="zh-CN" w:bidi="ar-SA"/>
        </w:rPr>
        <w:t>第一步：</w:t>
      </w:r>
    </w:p>
    <w:p>
      <w:pPr>
        <w:widowControl/>
        <w:adjustRightInd w:val="0"/>
        <w:snapToGrid w:val="0"/>
        <w:spacing w:before="75" w:after="75" w:line="240" w:lineRule="atLeast"/>
        <w:jc w:val="left"/>
        <w:rPr>
          <w:rFonts w:hint="eastAsia" w:ascii="宋体" w:hAnsi="宋体" w:eastAsia="宋体" w:cs="仿宋_GB2312"/>
          <w:b/>
          <w:bCs/>
          <w:kern w:val="2"/>
          <w:sz w:val="24"/>
          <w:szCs w:val="24"/>
          <w:lang w:val="en-US" w:eastAsia="zh-CN" w:bidi="ar-SA"/>
        </w:rPr>
      </w:pPr>
      <w:r>
        <w:rPr>
          <w:rFonts w:hint="eastAsia" w:ascii="宋体" w:hAnsi="宋体" w:eastAsia="宋体" w:cs="仿宋_GB2312"/>
          <w:b/>
          <w:bCs/>
          <w:kern w:val="2"/>
          <w:sz w:val="24"/>
          <w:szCs w:val="24"/>
          <w:lang w:val="en-US" w:eastAsia="zh-CN" w:bidi="ar-SA"/>
        </w:rPr>
        <w:t>到网上公示及备案（网址</w:t>
      </w:r>
      <w:r>
        <w:rPr>
          <w:rFonts w:hint="eastAsia" w:ascii="宋体" w:hAnsi="宋体" w:cs="仿宋_GB2312"/>
          <w:b/>
          <w:bCs/>
          <w:kern w:val="2"/>
          <w:sz w:val="24"/>
          <w:szCs w:val="24"/>
          <w:lang w:val="en-US" w:eastAsia="zh-CN" w:bidi="ar-SA"/>
        </w:rPr>
        <w:t>：</w:t>
      </w:r>
      <w:r>
        <w:rPr>
          <w:rFonts w:hint="eastAsia" w:ascii="宋体" w:hAnsi="宋体" w:eastAsia="宋体" w:cs="仿宋_GB2312"/>
          <w:b/>
          <w:bCs/>
          <w:kern w:val="2"/>
          <w:sz w:val="24"/>
          <w:szCs w:val="24"/>
          <w:lang w:val="en-US" w:eastAsia="zh-CN" w:bidi="ar-SA"/>
        </w:rPr>
        <w:fldChar w:fldCharType="begin"/>
      </w:r>
      <w:r>
        <w:rPr>
          <w:rFonts w:hint="eastAsia" w:ascii="宋体" w:hAnsi="宋体" w:eastAsia="宋体" w:cs="仿宋_GB2312"/>
          <w:b/>
          <w:bCs/>
          <w:kern w:val="2"/>
          <w:sz w:val="24"/>
          <w:szCs w:val="24"/>
          <w:lang w:val="en-US" w:eastAsia="zh-CN" w:bidi="ar-SA"/>
        </w:rPr>
        <w:instrText xml:space="preserve"> HYPERLINK "http://hn.gsxt.gov.cn/index.html)。" </w:instrText>
      </w:r>
      <w:r>
        <w:rPr>
          <w:rFonts w:hint="eastAsia" w:ascii="宋体" w:hAnsi="宋体" w:eastAsia="宋体" w:cs="仿宋_GB2312"/>
          <w:b/>
          <w:bCs/>
          <w:kern w:val="2"/>
          <w:sz w:val="24"/>
          <w:szCs w:val="24"/>
          <w:lang w:val="en-US" w:eastAsia="zh-CN" w:bidi="ar-SA"/>
        </w:rPr>
        <w:fldChar w:fldCharType="separate"/>
      </w:r>
      <w:r>
        <w:rPr>
          <w:rFonts w:hint="eastAsia" w:ascii="宋体" w:hAnsi="宋体" w:eastAsia="宋体" w:cs="仿宋_GB2312"/>
          <w:b/>
          <w:bCs/>
          <w:kern w:val="2"/>
          <w:sz w:val="24"/>
          <w:szCs w:val="24"/>
          <w:lang w:val="en-US" w:eastAsia="zh-CN" w:bidi="ar-SA"/>
        </w:rPr>
        <w:t>http://www.gsxt.gov.cn/index.html)。</w:t>
      </w:r>
      <w:r>
        <w:rPr>
          <w:rFonts w:hint="eastAsia" w:ascii="宋体" w:hAnsi="宋体" w:eastAsia="宋体" w:cs="仿宋_GB2312"/>
          <w:b/>
          <w:bCs/>
          <w:kern w:val="2"/>
          <w:sz w:val="24"/>
          <w:szCs w:val="24"/>
          <w:lang w:val="en-US" w:eastAsia="zh-CN" w:bidi="ar-SA"/>
        </w:rPr>
        <w:fldChar w:fldCharType="end"/>
      </w:r>
    </w:p>
    <w:p>
      <w:pPr>
        <w:widowControl/>
        <w:adjustRightInd w:val="0"/>
        <w:snapToGrid w:val="0"/>
        <w:spacing w:before="75" w:after="75" w:line="240" w:lineRule="atLeast"/>
        <w:ind w:firstLine="723" w:firstLineChars="300"/>
        <w:jc w:val="left"/>
        <w:rPr>
          <w:rFonts w:hint="eastAsia" w:ascii="宋体" w:hAnsi="宋体" w:eastAsia="宋体" w:cs="仿宋_GB2312"/>
          <w:kern w:val="2"/>
          <w:sz w:val="24"/>
          <w:szCs w:val="24"/>
          <w:lang w:val="en-US" w:eastAsia="zh-CN" w:bidi="ar-SA"/>
        </w:rPr>
      </w:pPr>
      <w:r>
        <w:rPr>
          <w:rFonts w:hint="eastAsia" w:ascii="宋体" w:hAnsi="宋体" w:eastAsia="宋体" w:cs="仿宋_GB2312"/>
          <w:b/>
          <w:bCs/>
          <w:kern w:val="2"/>
          <w:sz w:val="24"/>
          <w:szCs w:val="24"/>
          <w:lang w:val="en-US" w:eastAsia="zh-CN" w:bidi="ar-SA"/>
        </w:rPr>
        <w:t>第二步：办理注销手续</w:t>
      </w:r>
    </w:p>
    <w:p>
      <w:pPr>
        <w:pStyle w:val="9"/>
        <w:widowControl/>
        <w:numPr>
          <w:ilvl w:val="0"/>
          <w:numId w:val="2"/>
        </w:numPr>
        <w:overflowPunct w:val="0"/>
        <w:adjustRightInd w:val="0"/>
        <w:snapToGrid w:val="0"/>
        <w:spacing w:line="440" w:lineRule="exact"/>
        <w:ind w:left="0" w:firstLine="480"/>
        <w:rPr>
          <w:rFonts w:ascii="??" w:hAnsi="??" w:cs="仿宋_GB2312"/>
          <w:sz w:val="24"/>
          <w:szCs w:val="24"/>
        </w:rPr>
      </w:pPr>
      <w:r>
        <w:rPr>
          <w:rFonts w:ascii="??" w:hAnsi="??" w:cs="仿宋_GB2312"/>
          <w:sz w:val="24"/>
          <w:szCs w:val="24"/>
        </w:rPr>
        <w:t>《企业注销登记申请书》。</w:t>
      </w:r>
    </w:p>
    <w:p>
      <w:pPr>
        <w:pStyle w:val="9"/>
        <w:widowControl/>
        <w:numPr>
          <w:ilvl w:val="0"/>
          <w:numId w:val="2"/>
        </w:numPr>
        <w:overflowPunct w:val="0"/>
        <w:adjustRightInd w:val="0"/>
        <w:snapToGrid w:val="0"/>
        <w:spacing w:line="440" w:lineRule="exact"/>
        <w:ind w:left="0" w:firstLine="480"/>
        <w:rPr>
          <w:rFonts w:ascii="??" w:hAnsi="??" w:cs="仿宋_GB2312"/>
          <w:sz w:val="24"/>
          <w:szCs w:val="24"/>
        </w:rPr>
      </w:pPr>
      <w:r>
        <w:rPr>
          <w:rFonts w:ascii="??" w:hAnsi="??" w:cs="仿宋_GB2312"/>
          <w:sz w:val="24"/>
          <w:szCs w:val="24"/>
        </w:rPr>
        <w:t>公司依照《公司法》作出解散的决议或者决定，人民法院的破产裁定、解散裁判文书，行政机关责令关闭</w:t>
      </w:r>
      <w:r>
        <w:rPr>
          <w:rFonts w:hint="eastAsia" w:ascii="宋体" w:hAnsi="宋体" w:cs="宋体"/>
        </w:rPr>
        <w:t>、</w:t>
      </w:r>
      <w:r>
        <w:rPr>
          <w:rFonts w:ascii="??" w:hAnsi="??" w:cs="仿宋_GB2312"/>
          <w:sz w:val="24"/>
          <w:szCs w:val="24"/>
        </w:rPr>
        <w:t>公司依法被吊销营业执照或被撤销的文件。</w:t>
      </w:r>
    </w:p>
    <w:p>
      <w:pPr>
        <w:pStyle w:val="9"/>
        <w:widowControl/>
        <w:numPr>
          <w:ilvl w:val="0"/>
          <w:numId w:val="2"/>
        </w:numPr>
        <w:overflowPunct w:val="0"/>
        <w:adjustRightInd w:val="0"/>
        <w:snapToGrid w:val="0"/>
        <w:spacing w:line="440" w:lineRule="exact"/>
        <w:ind w:left="0" w:firstLine="480"/>
        <w:rPr>
          <w:rFonts w:ascii="??" w:hAnsi="??" w:cs="仿宋_GB2312"/>
          <w:sz w:val="24"/>
          <w:szCs w:val="24"/>
        </w:rPr>
      </w:pPr>
      <w:r>
        <w:rPr>
          <w:rFonts w:ascii="??" w:hAnsi="??" w:cs="仿宋_GB2312"/>
          <w:sz w:val="24"/>
          <w:szCs w:val="24"/>
        </w:rPr>
        <w:t>股东会、股东大会、一人有限责任公司的股东</w:t>
      </w:r>
      <w:r>
        <w:rPr>
          <w:rFonts w:ascii="??" w:hAnsi="??"/>
          <w:sz w:val="24"/>
        </w:rPr>
        <w:t>或</w:t>
      </w:r>
      <w:r>
        <w:rPr>
          <w:rFonts w:ascii="??" w:hAnsi="??" w:cs="仿宋_GB2312"/>
          <w:sz w:val="24"/>
          <w:szCs w:val="24"/>
        </w:rPr>
        <w:t>人民法院、公司批准机关确认的清算报告。</w:t>
      </w:r>
    </w:p>
    <w:p>
      <w:pPr>
        <w:overflowPunct w:val="0"/>
        <w:spacing w:line="440" w:lineRule="exact"/>
        <w:ind w:firstLine="480" w:firstLineChars="200"/>
        <w:rPr>
          <w:rFonts w:ascii="??" w:hAnsi="??" w:cs="仿宋_GB2312"/>
        </w:rPr>
      </w:pPr>
      <w:r>
        <w:rPr>
          <w:rFonts w:ascii="??" w:hAnsi="??" w:cs="仿宋_GB2312"/>
        </w:rPr>
        <w:t>◆有限责任公司由代表三分之二以上表决权的股东签署确认；一人有限责任公司由股东签署确认；股份有限公司由股东大会会议主持人及出席会议的董事签字确认。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480" w:firstLineChars="200"/>
        <w:rPr>
          <w:rFonts w:ascii="??" w:hAnsi="??"/>
        </w:rPr>
      </w:pPr>
      <w:r>
        <w:rPr>
          <w:rFonts w:ascii="??" w:hAnsi="??"/>
        </w:rPr>
        <w:t>◆国有独资公司由国务院、地方人民政府或者其授权的本级人民政府国有资产监督管理机构签署确认。</w:t>
      </w:r>
    </w:p>
    <w:p>
      <w:pPr>
        <w:widowControl/>
        <w:overflowPunct w:val="0"/>
        <w:spacing w:line="440" w:lineRule="exact"/>
        <w:ind w:firstLine="480" w:firstLineChars="200"/>
        <w:rPr>
          <w:rFonts w:ascii="??" w:hAnsi="??"/>
          <w:sz w:val="24"/>
        </w:rPr>
      </w:pPr>
      <w:r>
        <w:rPr>
          <w:rFonts w:ascii="??" w:hAnsi="??"/>
          <w:sz w:val="24"/>
        </w:rPr>
        <w:t>4.国有独资公司申请注销登记，还应当提交国有资产监督管理机构的决定。其中，国务院确定的重要的国有独资公司，还应当提交本级人民政府的批准文件复印件。</w:t>
      </w:r>
    </w:p>
    <w:p>
      <w:pPr>
        <w:widowControl/>
        <w:overflowPunct w:val="0"/>
        <w:spacing w:line="440" w:lineRule="exact"/>
        <w:ind w:firstLine="480" w:firstLineChars="200"/>
        <w:rPr>
          <w:rFonts w:ascii="??" w:hAnsi="??"/>
          <w:sz w:val="24"/>
        </w:rPr>
      </w:pPr>
      <w:r>
        <w:rPr>
          <w:rFonts w:ascii="??" w:hAnsi="??"/>
          <w:sz w:val="24"/>
        </w:rPr>
        <w:t>5.清税证明材料（登记机关和税务部门已共享清税信息的，无需提交纸质清税证明材料）。</w:t>
      </w:r>
    </w:p>
    <w:p>
      <w:pPr>
        <w:widowControl/>
        <w:overflowPunct w:val="0"/>
        <w:spacing w:line="440" w:lineRule="exact"/>
        <w:ind w:firstLine="480" w:firstLineChars="200"/>
        <w:rPr>
          <w:rFonts w:ascii="??" w:hAnsi="??"/>
          <w:sz w:val="24"/>
        </w:rPr>
      </w:pPr>
      <w:bookmarkStart w:id="1" w:name="OLE_LINK3"/>
      <w:r>
        <w:rPr>
          <w:rFonts w:ascii="??" w:hAnsi="??"/>
          <w:sz w:val="24"/>
        </w:rPr>
        <w:t>6.仅通过报纸发布债权人公告的，需要提交依法刊登公告的报纸样张。</w:t>
      </w:r>
    </w:p>
    <w:p>
      <w:pPr>
        <w:widowControl/>
        <w:overflowPunct w:val="0"/>
        <w:spacing w:line="440" w:lineRule="exact"/>
        <w:ind w:firstLine="480" w:firstLineChars="200"/>
        <w:rPr>
          <w:rFonts w:ascii="??" w:hAnsi="??"/>
          <w:sz w:val="24"/>
        </w:rPr>
      </w:pPr>
      <w:r>
        <w:rPr>
          <w:rFonts w:ascii="??" w:hAnsi="??"/>
          <w:sz w:val="24"/>
        </w:rPr>
        <w:t>7.清算人、破产管理人申请注销登记的，应提交人民法院指定其为清算人、破产管理人的证明。</w:t>
      </w:r>
    </w:p>
    <w:p>
      <w:pPr>
        <w:widowControl/>
        <w:overflowPunct w:val="0"/>
        <w:spacing w:line="440" w:lineRule="exact"/>
        <w:ind w:firstLine="480" w:firstLineChars="200"/>
        <w:rPr>
          <w:rFonts w:ascii="??" w:hAnsi="??"/>
          <w:sz w:val="24"/>
        </w:rPr>
      </w:pPr>
      <w:r>
        <w:rPr>
          <w:rFonts w:ascii="??" w:hAnsi="??"/>
          <w:sz w:val="24"/>
        </w:rPr>
        <w:t>8.法律、行政法规和国务院决定规定注销公司必须报经批准的，提交有关批准文件的复印件。</w:t>
      </w:r>
    </w:p>
    <w:bookmarkEnd w:id="1"/>
    <w:p>
      <w:pPr>
        <w:widowControl/>
        <w:overflowPunct w:val="0"/>
        <w:spacing w:line="440" w:lineRule="exact"/>
        <w:ind w:firstLine="480" w:firstLineChars="200"/>
        <w:rPr>
          <w:rFonts w:ascii="??" w:hAnsi="??"/>
          <w:sz w:val="24"/>
        </w:rPr>
      </w:pPr>
      <w:r>
        <w:rPr>
          <w:rFonts w:ascii="??" w:hAnsi="??"/>
          <w:sz w:val="24"/>
        </w:rPr>
        <w:t>9.已领取纸质版营业执照的缴回营业执照正、副本。</w:t>
      </w:r>
    </w:p>
    <w:p>
      <w:pPr>
        <w:overflowPunct w:val="0"/>
        <w:spacing w:line="440" w:lineRule="exact"/>
        <w:ind w:firstLine="482" w:firstLineChars="200"/>
        <w:rPr>
          <w:rFonts w:ascii="??" w:hAnsi="??" w:cs="仿宋_GB2312"/>
        </w:rPr>
      </w:pPr>
      <w:r>
        <w:rPr>
          <w:rFonts w:hint="eastAsia" w:ascii="宋体" w:hAnsi="宋体" w:cs="宋体"/>
          <w:b/>
        </w:rPr>
        <w:t>注：</w:t>
      </w:r>
      <w:r>
        <w:rPr>
          <w:rFonts w:ascii="??" w:hAnsi="??" w:cs="仿宋_GB2312"/>
        </w:rPr>
        <w:t>1.依照《公司法》、《外商投资法》、《市场主体登记管理条例》设立的公司申请注销登记适用本规范。</w:t>
      </w:r>
    </w:p>
    <w:p>
      <w:pPr>
        <w:overflowPunct w:val="0"/>
        <w:spacing w:line="440" w:lineRule="exact"/>
        <w:ind w:firstLine="480" w:firstLineChars="200"/>
        <w:rPr>
          <w:rFonts w:ascii="??" w:hAnsi="??" w:cs="仿宋_GB2312"/>
        </w:rPr>
      </w:pPr>
      <w:r>
        <w:rPr>
          <w:rFonts w:ascii="??" w:hAnsi="??" w:cs="仿宋_GB2312"/>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pPr>
        <w:overflowPunct w:val="0"/>
        <w:spacing w:line="440" w:lineRule="exact"/>
        <w:ind w:firstLine="480" w:firstLineChars="200"/>
        <w:rPr>
          <w:rFonts w:ascii="??" w:hAnsi="??" w:cs="仿宋_GB2312"/>
        </w:rPr>
      </w:pPr>
      <w:r>
        <w:rPr>
          <w:rFonts w:ascii="??" w:hAnsi="??" w:cs="仿宋_GB2312"/>
        </w:rPr>
        <w:t>3.申请简易注销登记的，提交《简易注销全体投资人承诺书》，提交此规范第1、9项材料。</w:t>
      </w:r>
      <w:r>
        <w:rPr>
          <w:rFonts w:ascii="??" w:hAnsi="??" w:cs="仿宋_GB2312"/>
          <w:color w:val="0000FF"/>
        </w:rPr>
        <w:t>非上市股份有限公司申请简易注销的，还需提交公司全体股东名册。</w:t>
      </w:r>
    </w:p>
    <w:p>
      <w:pPr>
        <w:overflowPunct w:val="0"/>
        <w:spacing w:line="440" w:lineRule="exact"/>
        <w:ind w:firstLine="480" w:firstLineChars="200"/>
        <w:rPr>
          <w:rFonts w:ascii="??" w:hAnsi="??" w:cs="仿宋_GB2312"/>
          <w:color w:val="C00000"/>
        </w:rPr>
      </w:pPr>
      <w:r>
        <w:rPr>
          <w:rFonts w:ascii="??" w:hAnsi="??" w:cs="仿宋_GB2312"/>
        </w:rPr>
        <w:t>4</w:t>
      </w:r>
      <w:r>
        <w:rPr>
          <w:rFonts w:ascii="??" w:hAnsi="??" w:cs="仿宋_GB2312"/>
          <w:color w:val="C00000"/>
        </w:rPr>
        <w:t>.经人民法院裁定宣告破产并终结破产程序或强制清算程序终结后办理注销登记的，提交此规范第1、7、9以及人民法院宣告破产的裁定书、终结破产程序的裁定书原件或</w:t>
      </w:r>
      <w:bookmarkStart w:id="2" w:name="_GoBack"/>
      <w:bookmarkEnd w:id="2"/>
      <w:r>
        <w:rPr>
          <w:rFonts w:ascii="??" w:hAnsi="??" w:cs="仿宋_GB2312"/>
          <w:color w:val="C00000"/>
        </w:rPr>
        <w:t>人民法院终结强制清算程序的裁定书原件（包括以无法清算或无法全面清算为由作出的裁定）。</w:t>
      </w:r>
    </w:p>
    <w:p>
      <w:pPr>
        <w:pStyle w:val="2"/>
        <w:rPr>
          <w:rFonts w:hint="eastAsia" w:ascii="宋体" w:hAnsi="宋体" w:eastAsia="宋体" w:cs="仿宋_GB2312"/>
          <w:szCs w:val="24"/>
        </w:rPr>
      </w:pPr>
    </w:p>
    <w:p>
      <w:pPr>
        <w:pStyle w:val="2"/>
        <w:rPr>
          <w:rFonts w:hint="eastAsia" w:ascii="宋体" w:hAnsi="宋体" w:eastAsia="宋体" w:cs="仿宋_GB2312"/>
          <w:szCs w:val="24"/>
        </w:rPr>
      </w:pPr>
    </w:p>
    <w:p>
      <w:pPr>
        <w:pStyle w:val="2"/>
        <w:rPr>
          <w:rFonts w:hint="eastAsia" w:ascii="宋体" w:hAnsi="宋体" w:eastAsia="宋体" w:cs="仿宋_GB2312"/>
          <w:szCs w:val="24"/>
        </w:rPr>
      </w:pPr>
    </w:p>
    <w:p>
      <w:pPr>
        <w:rPr>
          <w:rFonts w:hint="eastAsia"/>
          <w:sz w:val="44"/>
          <w:szCs w:val="44"/>
        </w:rPr>
      </w:pPr>
      <w:r>
        <w:rPr>
          <w:rFonts w:hint="eastAsia"/>
          <w:sz w:val="44"/>
          <w:szCs w:val="44"/>
        </w:rPr>
        <w:br w:type="page"/>
      </w:r>
    </w:p>
    <w:p>
      <w:pPr>
        <w:pStyle w:val="10"/>
        <w:spacing w:after="120" w:line="560" w:lineRule="exact"/>
        <w:outlineLvl w:val="1"/>
        <w:rPr>
          <w:sz w:val="44"/>
          <w:szCs w:val="44"/>
        </w:rPr>
      </w:pPr>
      <w:r>
        <w:rPr>
          <w:rFonts w:hint="eastAsia"/>
          <w:sz w:val="44"/>
          <w:szCs w:val="44"/>
        </w:rPr>
        <w:t>企业注销登记申请书</w:t>
      </w:r>
    </w:p>
    <w:tbl>
      <w:tblPr>
        <w:tblStyle w:val="6"/>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720" w:leftChars="100" w:hanging="48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8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hint="eastAsia" w:ascii="宋体"/>
                <w:bCs/>
                <w:szCs w:val="21"/>
                <w:u w:val="single"/>
                <w:lang w:val="en-US" w:eastAsia="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9"/>
              <w:adjustRightInd w:val="0"/>
              <w:snapToGrid w:val="0"/>
              <w:jc w:val="left"/>
              <w:rPr>
                <w:rFonts w:hint="eastAsia" w:ascii="宋体"/>
                <w:bCs/>
                <w:spacing w:val="-11"/>
              </w:rPr>
            </w:pPr>
            <w:r>
              <w:rPr>
                <w:rFonts w:hint="eastAsia" w:ascii="宋体"/>
                <w:bCs/>
                <w:spacing w:val="-11"/>
              </w:rPr>
              <w:t>指定代表/委托代理人签字：</w:t>
            </w:r>
          </w:p>
          <w:p>
            <w:pPr>
              <w:pStyle w:val="9"/>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0"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8"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3"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jc w:val="center"/>
        <w:outlineLvl w:val="1"/>
        <w:rPr>
          <w:rFonts w:hint="eastAsia" w:ascii="宋体" w:hAnsi="宋体"/>
          <w:szCs w:val="21"/>
        </w:rPr>
      </w:pPr>
      <w:r>
        <w:rPr>
          <w:rFonts w:hint="eastAsia" w:ascii="宋体" w:hAnsi="宋体"/>
          <w:szCs w:val="21"/>
        </w:rPr>
        <w:t>4、人民法院裁定清算（破产）的由其指定的清算组负责人（破产管理人）签字。</w:t>
      </w:r>
    </w:p>
    <w:p>
      <w:pPr>
        <w:rPr>
          <w:rFonts w:hint="eastAsia" w:ascii="宋体" w:hAnsi="宋体"/>
          <w:szCs w:val="21"/>
        </w:rPr>
      </w:pPr>
      <w:r>
        <w:rPr>
          <w:rFonts w:hint="eastAsia" w:ascii="宋体" w:hAnsi="宋体"/>
          <w:szCs w:val="21"/>
        </w:rPr>
        <w:br w:type="page"/>
      </w:r>
    </w:p>
    <w:p>
      <w:pPr>
        <w:jc w:val="center"/>
        <w:outlineLvl w:val="1"/>
        <w:rPr>
          <w:rFonts w:hint="eastAsia" w:ascii="宋体" w:hAnsi="宋体"/>
          <w:b/>
          <w:sz w:val="44"/>
          <w:szCs w:val="44"/>
        </w:rPr>
      </w:pPr>
      <w:r>
        <w:rPr>
          <w:rFonts w:hint="eastAsia" w:ascii="宋体" w:hAnsi="宋体"/>
          <w:b/>
          <w:sz w:val="44"/>
          <w:szCs w:val="44"/>
        </w:rPr>
        <w:t>简易注销全体投资人承诺书</w:t>
      </w:r>
    </w:p>
    <w:p>
      <w:pPr>
        <w:spacing w:line="480" w:lineRule="exact"/>
        <w:rPr>
          <w:rFonts w:hint="eastAsia" w:ascii="宋体" w:hAnsi="宋体" w:cs="宋体"/>
          <w:sz w:val="36"/>
          <w:szCs w:val="36"/>
        </w:rPr>
      </w:pPr>
    </w:p>
    <w:p>
      <w:pPr>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hint="eastAsia" w:ascii="宋体" w:hAnsi="宋体" w:cs="宋体"/>
          <w:sz w:val="28"/>
          <w:szCs w:val="28"/>
        </w:rPr>
      </w:pPr>
    </w:p>
    <w:p>
      <w:pPr>
        <w:spacing w:line="460" w:lineRule="exact"/>
        <w:rPr>
          <w:rFonts w:hint="eastAsia" w:ascii="宋体" w:hAnsi="宋体" w:cs="宋体"/>
          <w:sz w:val="32"/>
          <w:szCs w:val="32"/>
        </w:rPr>
      </w:pPr>
      <w:r>
        <w:rPr>
          <w:rFonts w:hint="eastAsia" w:ascii="宋体" w:hAnsi="宋体" w:cs="宋体"/>
          <w:sz w:val="28"/>
          <w:szCs w:val="28"/>
        </w:rPr>
        <w:t>全体投资人签字（盖章）：</w:t>
      </w:r>
    </w:p>
    <w:p>
      <w:pPr>
        <w:spacing w:line="460" w:lineRule="exact"/>
        <w:rPr>
          <w:rFonts w:hint="eastAsia" w:ascii="宋体" w:hAnsi="宋体" w:cs="宋体"/>
          <w:sz w:val="32"/>
          <w:szCs w:val="32"/>
        </w:rPr>
      </w:pPr>
      <w:r>
        <w:rPr>
          <w:rFonts w:hint="eastAsia" w:ascii="宋体" w:hAnsi="宋体" w:cs="宋体"/>
          <w:sz w:val="32"/>
          <w:szCs w:val="32"/>
        </w:rPr>
        <w:t xml:space="preserve">                             </w:t>
      </w:r>
    </w:p>
    <w:p>
      <w:pPr>
        <w:spacing w:line="460" w:lineRule="exact"/>
        <w:jc w:val="right"/>
        <w:rPr>
          <w:rFonts w:hint="eastAsia" w:ascii="宋体" w:hAnsi="宋体"/>
        </w:rPr>
      </w:pPr>
      <w:r>
        <w:rPr>
          <w:rFonts w:hint="eastAsia" w:ascii="宋体" w:hAnsi="宋体" w:cs="宋体"/>
          <w:sz w:val="32"/>
          <w:szCs w:val="32"/>
        </w:rPr>
        <w:t>年    月    日</w:t>
      </w:r>
    </w:p>
    <w:p>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b/>
          <w:bCs/>
          <w:lang w:val="zh-CN"/>
        </w:rPr>
        <w:t>注</w:t>
      </w:r>
      <w:r>
        <w:rPr>
          <w:rFonts w:hint="eastAsia" w:ascii="宋体" w:hAnsi="宋体"/>
          <w:lang w:val="zh-CN"/>
        </w:rPr>
        <w:t>：</w:t>
      </w:r>
      <w:r>
        <w:rPr>
          <w:rFonts w:hint="eastAsia" w:ascii="宋体" w:hAnsi="宋体" w:eastAsia="宋体" w:cs="Times New Roman"/>
          <w:b w:val="0"/>
          <w:spacing w:val="-4"/>
          <w:kern w:val="2"/>
          <w:sz w:val="24"/>
          <w:szCs w:val="21"/>
          <w:lang w:val="en-US" w:eastAsia="zh-CN" w:bidi="ar-SA"/>
        </w:rPr>
        <w:t>1、有限责任公司由全体股东签署、非公司企业法人由全体出资人签署、个人独资企业由投资人签字、合伙企业由全体合伙人签署、农民专业合作社由全体合作社成员签署。</w:t>
      </w:r>
    </w:p>
    <w:p>
      <w:pPr>
        <w:keepNext w:val="0"/>
        <w:keepLines w:val="0"/>
        <w:pageBreakBefore w:val="0"/>
        <w:widowControl w:val="0"/>
        <w:kinsoku/>
        <w:wordWrap/>
        <w:overflowPunct/>
        <w:topLinePunct w:val="0"/>
        <w:autoSpaceDE/>
        <w:autoSpaceDN/>
        <w:bidi w:val="0"/>
        <w:adjustRightInd/>
        <w:snapToGrid/>
        <w:spacing w:line="280" w:lineRule="exact"/>
        <w:ind w:firstLine="464"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eastAsia="宋体" w:cs="Times New Roman"/>
          <w:b w:val="0"/>
          <w:spacing w:val="-4"/>
          <w:kern w:val="2"/>
          <w:sz w:val="24"/>
          <w:szCs w:val="21"/>
          <w:lang w:val="en-US" w:eastAsia="zh-CN" w:bidi="ar-SA"/>
        </w:rPr>
        <w:t>2、非上市股份有限公司由全体股东签署。</w:t>
      </w:r>
    </w:p>
    <w:p>
      <w:pPr>
        <w:keepNext w:val="0"/>
        <w:keepLines w:val="0"/>
        <w:pageBreakBefore w:val="0"/>
        <w:widowControl w:val="0"/>
        <w:kinsoku/>
        <w:wordWrap/>
        <w:overflowPunct/>
        <w:topLinePunct w:val="0"/>
        <w:autoSpaceDE/>
        <w:autoSpaceDN/>
        <w:bidi w:val="0"/>
        <w:adjustRightInd/>
        <w:snapToGrid/>
        <w:spacing w:line="280" w:lineRule="exact"/>
        <w:ind w:firstLine="464"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eastAsia="宋体" w:cs="Times New Roman"/>
          <w:b w:val="0"/>
          <w:spacing w:val="-4"/>
          <w:kern w:val="2"/>
          <w:sz w:val="24"/>
          <w:szCs w:val="21"/>
          <w:lang w:val="en-US" w:eastAsia="zh-CN" w:bidi="ar-SA"/>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12"/>
        <w:keepNext w:val="0"/>
        <w:keepLines w:val="0"/>
        <w:pageBreakBefore w:val="0"/>
        <w:widowControl w:val="0"/>
        <w:kinsoku/>
        <w:wordWrap/>
        <w:overflowPunct/>
        <w:topLinePunct w:val="0"/>
        <w:autoSpaceDE/>
        <w:autoSpaceDN/>
        <w:bidi w:val="0"/>
        <w:adjustRightInd/>
        <w:snapToGrid/>
        <w:spacing w:afterLines="0" w:line="300" w:lineRule="exact"/>
        <w:ind w:firstLine="464" w:firstLineChars="200"/>
        <w:jc w:val="both"/>
        <w:textAlignment w:val="auto"/>
        <w:rPr>
          <w:rFonts w:hint="eastAsia" w:ascii="宋体" w:hAnsi="宋体" w:eastAsia="宋体" w:cs="Times New Roman"/>
          <w:b w:val="0"/>
          <w:spacing w:val="-4"/>
          <w:kern w:val="2"/>
          <w:sz w:val="24"/>
          <w:szCs w:val="21"/>
          <w:lang w:val="en-US" w:eastAsia="zh-CN" w:bidi="ar-SA"/>
        </w:rPr>
        <w:sectPr>
          <w:pgSz w:w="11906" w:h="16838"/>
          <w:pgMar w:top="1440" w:right="1418" w:bottom="1440" w:left="1276" w:header="851" w:footer="1134" w:gutter="0"/>
          <w:cols w:space="720" w:num="1"/>
          <w:docGrid w:linePitch="312" w:charSpace="0"/>
        </w:sectPr>
      </w:pPr>
      <w:r>
        <w:rPr>
          <w:rFonts w:hint="eastAsia" w:ascii="宋体" w:hAnsi="宋体" w:eastAsia="宋体" w:cs="Times New Roman"/>
          <w:b w:val="0"/>
          <w:spacing w:val="-4"/>
          <w:kern w:val="2"/>
          <w:sz w:val="24"/>
          <w:szCs w:val="21"/>
          <w:lang w:val="en-US" w:eastAsia="zh-CN" w:bidi="ar-SA"/>
        </w:rPr>
        <w:t>4、申请人为外国（地区）企业在中国境内从事生产经营活动的，由其外国（地区）企业有权签字人签字</w:t>
      </w:r>
      <w:r>
        <w:rPr>
          <w:rFonts w:hint="eastAsia" w:ascii="宋体" w:hAnsi="宋体" w:cs="Times New Roman"/>
          <w:b w:val="0"/>
          <w:spacing w:val="-4"/>
          <w:kern w:val="2"/>
          <w:sz w:val="24"/>
          <w:szCs w:val="21"/>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4E260CA4"/>
    <w:rsid w:val="01C67D14"/>
    <w:rsid w:val="044A3993"/>
    <w:rsid w:val="1B9E1D54"/>
    <w:rsid w:val="263C60F6"/>
    <w:rsid w:val="35C540EE"/>
    <w:rsid w:val="36901459"/>
    <w:rsid w:val="37C0545F"/>
    <w:rsid w:val="410E1D2C"/>
    <w:rsid w:val="499818C2"/>
    <w:rsid w:val="4E260CA4"/>
    <w:rsid w:val="5F5231E3"/>
    <w:rsid w:val="68EC4B36"/>
    <w:rsid w:val="6CD504C6"/>
    <w:rsid w:val="73B7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character" w:styleId="8">
    <w:name w:val="Hyperlink"/>
    <w:basedOn w:val="7"/>
    <w:qFormat/>
    <w:uiPriority w:val="0"/>
    <w:rPr>
      <w:color w:val="0000FF"/>
      <w:u w:val="single"/>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
    <w:name w:val="04B-文书标题"/>
    <w:basedOn w:val="11"/>
    <w:qFormat/>
    <w:uiPriority w:val="99"/>
    <w:pPr>
      <w:spacing w:after="192" w:line="500" w:lineRule="exact"/>
      <w:jc w:val="center"/>
    </w:pPr>
    <w:rPr>
      <w:rFonts w:ascii="宋体" w:hAnsi="宋体" w:cs="宋体"/>
      <w:sz w:val="36"/>
      <w:szCs w:val="36"/>
    </w:rPr>
  </w:style>
  <w:style w:type="paragraph" w:customStyle="1" w:styleId="11">
    <w:name w:val="02-标题1"/>
    <w:basedOn w:val="4"/>
    <w:qFormat/>
    <w:uiPriority w:val="0"/>
    <w:pPr>
      <w:spacing w:after="156" w:afterLines="50" w:line="500" w:lineRule="exact"/>
      <w:jc w:val="center"/>
    </w:pPr>
    <w:rPr>
      <w:rFonts w:hAnsi="宋体" w:cs="宋体"/>
      <w:b/>
      <w:sz w:val="36"/>
      <w:szCs w:val="36"/>
    </w:rPr>
  </w:style>
  <w:style w:type="paragraph" w:customStyle="1" w:styleId="12">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2953</Words>
  <Characters>3072</Characters>
  <Lines>0</Lines>
  <Paragraphs>0</Paragraphs>
  <TotalTime>3</TotalTime>
  <ScaleCrop>false</ScaleCrop>
  <LinksUpToDate>false</LinksUpToDate>
  <CharactersWithSpaces>3855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2022-03-11T07:12:00Z</dcterms:created>
  <dc:creator>陈德元</dc:creator>
  <cp:lastModifiedBy>张三</cp:lastModifiedBy>
  <dcterms:modified xsi:type="dcterms:W3CDTF">2024-01-05T08:20:16Z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2AF18C5BAF724B738ACB3C08753D39C3</vt:lpwstr>
  </property>
</Properties>
</file>